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50" w:rsidRDefault="00013450" w:rsidP="00A57158">
      <w:pPr>
        <w:ind w:firstLine="720"/>
        <w:rPr>
          <w:rFonts w:ascii="Arial" w:hAnsi="Arial" w:cs="Arial"/>
          <w:b/>
          <w:sz w:val="28"/>
          <w:szCs w:val="28"/>
        </w:rPr>
      </w:pPr>
    </w:p>
    <w:tbl>
      <w:tblPr>
        <w:tblW w:w="9624"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6"/>
        <w:gridCol w:w="966"/>
        <w:gridCol w:w="966"/>
        <w:gridCol w:w="966"/>
      </w:tblGrid>
      <w:tr w:rsidR="00013450" w:rsidRPr="00013450" w:rsidTr="00013450">
        <w:trPr>
          <w:trHeight w:val="525"/>
        </w:trPr>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1932" w:type="dxa"/>
            <w:gridSpan w:val="2"/>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b/>
                <w:bCs/>
                <w:color w:val="000000"/>
              </w:rPr>
            </w:pPr>
            <w:r w:rsidRPr="00013450">
              <w:rPr>
                <w:rFonts w:ascii="Calibri" w:eastAsia="Times New Roman" w:hAnsi="Calibri" w:cs="Calibri"/>
                <w:b/>
                <w:bCs/>
                <w:color w:val="000000"/>
              </w:rPr>
              <w:t>Załącznik nr 2</w:t>
            </w: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b/>
                <w:bCs/>
                <w:color w:val="000000"/>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b/>
                <w:bCs/>
                <w:color w:val="000000"/>
              </w:rPr>
            </w:pPr>
          </w:p>
        </w:tc>
      </w:tr>
      <w:tr w:rsidR="00013450" w:rsidRPr="00013450" w:rsidTr="00013450">
        <w:trPr>
          <w:trHeight w:val="525"/>
        </w:trPr>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3864" w:type="dxa"/>
            <w:gridSpan w:val="4"/>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b/>
                <w:bCs/>
                <w:color w:val="000000"/>
              </w:rPr>
            </w:pPr>
            <w:r w:rsidRPr="00013450">
              <w:rPr>
                <w:rFonts w:ascii="Calibri" w:eastAsia="Times New Roman" w:hAnsi="Calibri" w:cs="Calibri"/>
                <w:b/>
                <w:bCs/>
                <w:color w:val="000000"/>
              </w:rPr>
              <w:t>do Zarządzenia nr OR.0050.1.221.2020</w:t>
            </w:r>
          </w:p>
        </w:tc>
      </w:tr>
      <w:tr w:rsidR="00013450" w:rsidRPr="00013450" w:rsidTr="00013450">
        <w:trPr>
          <w:trHeight w:val="525"/>
        </w:trPr>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2898" w:type="dxa"/>
            <w:gridSpan w:val="3"/>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b/>
                <w:bCs/>
                <w:color w:val="000000"/>
              </w:rPr>
            </w:pPr>
            <w:r w:rsidRPr="00013450">
              <w:rPr>
                <w:rFonts w:ascii="Calibri" w:eastAsia="Times New Roman" w:hAnsi="Calibri" w:cs="Calibri"/>
                <w:b/>
                <w:bCs/>
                <w:color w:val="000000"/>
              </w:rPr>
              <w:t>Burmistrza Rogoźna</w:t>
            </w: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b/>
                <w:bCs/>
                <w:color w:val="000000"/>
              </w:rPr>
            </w:pPr>
          </w:p>
        </w:tc>
      </w:tr>
      <w:tr w:rsidR="00013450" w:rsidRPr="00013450" w:rsidTr="00013450">
        <w:trPr>
          <w:trHeight w:val="315"/>
        </w:trPr>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3864" w:type="dxa"/>
            <w:gridSpan w:val="4"/>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b/>
                <w:bCs/>
                <w:color w:val="000000"/>
              </w:rPr>
            </w:pPr>
            <w:r w:rsidRPr="00013450">
              <w:rPr>
                <w:rFonts w:ascii="Calibri" w:eastAsia="Times New Roman" w:hAnsi="Calibri" w:cs="Calibri"/>
                <w:b/>
                <w:bCs/>
                <w:color w:val="000000"/>
              </w:rPr>
              <w:t>z dnia 28 września 2020 roku</w:t>
            </w:r>
          </w:p>
        </w:tc>
      </w:tr>
      <w:tr w:rsidR="00013450" w:rsidRPr="00013450" w:rsidTr="00013450">
        <w:trPr>
          <w:trHeight w:val="525"/>
        </w:trPr>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r>
      <w:tr w:rsidR="00013450" w:rsidRPr="00013450" w:rsidTr="00013450">
        <w:trPr>
          <w:trHeight w:val="525"/>
        </w:trPr>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r>
      <w:tr w:rsidR="00013450" w:rsidRPr="00013450" w:rsidTr="00013450">
        <w:trPr>
          <w:trHeight w:val="525"/>
        </w:trPr>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r>
      <w:tr w:rsidR="00013450" w:rsidRPr="00013450" w:rsidTr="00013450">
        <w:trPr>
          <w:trHeight w:val="525"/>
        </w:trPr>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r>
      <w:tr w:rsidR="00013450" w:rsidRPr="00013450" w:rsidTr="00013450">
        <w:trPr>
          <w:trHeight w:val="525"/>
        </w:trPr>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r>
      <w:tr w:rsidR="00013450" w:rsidRPr="00013450" w:rsidTr="00013450">
        <w:trPr>
          <w:trHeight w:val="525"/>
        </w:trPr>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r>
      <w:tr w:rsidR="00013450" w:rsidRPr="00013450" w:rsidTr="00013450">
        <w:trPr>
          <w:trHeight w:val="525"/>
        </w:trPr>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bookmarkStart w:id="0" w:name="_GoBack"/>
            <w:bookmarkEnd w:id="0"/>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r>
      <w:tr w:rsidR="00013450" w:rsidRPr="00013450" w:rsidTr="00013450">
        <w:trPr>
          <w:trHeight w:val="525"/>
        </w:trPr>
        <w:tc>
          <w:tcPr>
            <w:tcW w:w="9624" w:type="dxa"/>
            <w:gridSpan w:val="10"/>
            <w:tcBorders>
              <w:top w:val="nil"/>
              <w:left w:val="nil"/>
              <w:bottom w:val="nil"/>
              <w:right w:val="nil"/>
            </w:tcBorders>
            <w:shd w:val="clear" w:color="auto" w:fill="auto"/>
            <w:vAlign w:val="center"/>
            <w:hideMark/>
          </w:tcPr>
          <w:p w:rsidR="00013450" w:rsidRPr="00013450" w:rsidRDefault="00013450" w:rsidP="00013450">
            <w:pPr>
              <w:widowControl/>
              <w:autoSpaceDE/>
              <w:autoSpaceDN/>
              <w:adjustRightInd/>
              <w:jc w:val="center"/>
              <w:rPr>
                <w:rFonts w:ascii="Calibri" w:eastAsia="Times New Roman" w:hAnsi="Calibri" w:cs="Calibri"/>
                <w:b/>
                <w:bCs/>
                <w:color w:val="000000"/>
                <w:sz w:val="40"/>
                <w:szCs w:val="40"/>
              </w:rPr>
            </w:pPr>
            <w:r w:rsidRPr="00013450">
              <w:rPr>
                <w:rFonts w:ascii="Calibri" w:eastAsia="Times New Roman" w:hAnsi="Calibri" w:cs="Calibri"/>
                <w:b/>
                <w:bCs/>
                <w:color w:val="000000"/>
                <w:sz w:val="40"/>
                <w:szCs w:val="40"/>
              </w:rPr>
              <w:t>INFORMACJA</w:t>
            </w:r>
          </w:p>
        </w:tc>
      </w:tr>
      <w:tr w:rsidR="00013450" w:rsidRPr="00013450" w:rsidTr="00013450">
        <w:trPr>
          <w:trHeight w:val="525"/>
        </w:trPr>
        <w:tc>
          <w:tcPr>
            <w:tcW w:w="9624" w:type="dxa"/>
            <w:gridSpan w:val="10"/>
            <w:tcBorders>
              <w:top w:val="nil"/>
              <w:left w:val="nil"/>
              <w:bottom w:val="nil"/>
              <w:right w:val="nil"/>
            </w:tcBorders>
            <w:shd w:val="clear" w:color="auto" w:fill="auto"/>
            <w:vAlign w:val="center"/>
            <w:hideMark/>
          </w:tcPr>
          <w:p w:rsidR="00013450" w:rsidRPr="00013450" w:rsidRDefault="00013450" w:rsidP="00013450">
            <w:pPr>
              <w:widowControl/>
              <w:autoSpaceDE/>
              <w:autoSpaceDN/>
              <w:adjustRightInd/>
              <w:jc w:val="center"/>
              <w:rPr>
                <w:rFonts w:ascii="Calibri" w:eastAsia="Times New Roman" w:hAnsi="Calibri" w:cs="Calibri"/>
                <w:b/>
                <w:bCs/>
                <w:color w:val="000000"/>
                <w:sz w:val="40"/>
                <w:szCs w:val="40"/>
              </w:rPr>
            </w:pPr>
            <w:r w:rsidRPr="00013450">
              <w:rPr>
                <w:rFonts w:ascii="Calibri" w:eastAsia="Times New Roman" w:hAnsi="Calibri" w:cs="Calibri"/>
                <w:b/>
                <w:bCs/>
                <w:color w:val="000000"/>
                <w:sz w:val="40"/>
                <w:szCs w:val="40"/>
              </w:rPr>
              <w:t>O KSZTAŁTOWANIU SIĘ WIELOLETNIEJ PROGNOZY</w:t>
            </w:r>
          </w:p>
        </w:tc>
      </w:tr>
      <w:tr w:rsidR="00013450" w:rsidRPr="00013450" w:rsidTr="00013450">
        <w:trPr>
          <w:trHeight w:val="525"/>
        </w:trPr>
        <w:tc>
          <w:tcPr>
            <w:tcW w:w="9624" w:type="dxa"/>
            <w:gridSpan w:val="10"/>
            <w:tcBorders>
              <w:top w:val="nil"/>
              <w:left w:val="nil"/>
              <w:bottom w:val="nil"/>
              <w:right w:val="nil"/>
            </w:tcBorders>
            <w:shd w:val="clear" w:color="auto" w:fill="auto"/>
            <w:vAlign w:val="center"/>
            <w:hideMark/>
          </w:tcPr>
          <w:p w:rsidR="00013450" w:rsidRPr="00013450" w:rsidRDefault="00013450" w:rsidP="00013450">
            <w:pPr>
              <w:widowControl/>
              <w:autoSpaceDE/>
              <w:autoSpaceDN/>
              <w:adjustRightInd/>
              <w:jc w:val="center"/>
              <w:rPr>
                <w:rFonts w:ascii="Calibri" w:eastAsia="Times New Roman" w:hAnsi="Calibri" w:cs="Calibri"/>
                <w:b/>
                <w:bCs/>
                <w:color w:val="000000"/>
                <w:sz w:val="40"/>
                <w:szCs w:val="40"/>
              </w:rPr>
            </w:pPr>
            <w:r w:rsidRPr="00013450">
              <w:rPr>
                <w:rFonts w:ascii="Calibri" w:eastAsia="Times New Roman" w:hAnsi="Calibri" w:cs="Calibri"/>
                <w:b/>
                <w:bCs/>
                <w:color w:val="000000"/>
                <w:sz w:val="40"/>
                <w:szCs w:val="40"/>
              </w:rPr>
              <w:t>FINANSOWEJ GMINY ROGOŹNO NA LATA 2020-2037</w:t>
            </w:r>
          </w:p>
        </w:tc>
      </w:tr>
      <w:tr w:rsidR="00013450" w:rsidRPr="00013450" w:rsidTr="00013450">
        <w:trPr>
          <w:trHeight w:val="525"/>
        </w:trPr>
        <w:tc>
          <w:tcPr>
            <w:tcW w:w="9624" w:type="dxa"/>
            <w:gridSpan w:val="10"/>
            <w:tcBorders>
              <w:top w:val="nil"/>
              <w:left w:val="nil"/>
              <w:bottom w:val="nil"/>
              <w:right w:val="nil"/>
            </w:tcBorders>
            <w:shd w:val="clear" w:color="auto" w:fill="auto"/>
            <w:vAlign w:val="center"/>
            <w:hideMark/>
          </w:tcPr>
          <w:p w:rsidR="00013450" w:rsidRPr="00013450" w:rsidRDefault="00013450" w:rsidP="00013450">
            <w:pPr>
              <w:widowControl/>
              <w:autoSpaceDE/>
              <w:autoSpaceDN/>
              <w:adjustRightInd/>
              <w:jc w:val="center"/>
              <w:rPr>
                <w:rFonts w:ascii="Calibri" w:eastAsia="Times New Roman" w:hAnsi="Calibri" w:cs="Calibri"/>
                <w:b/>
                <w:bCs/>
                <w:color w:val="000000"/>
                <w:sz w:val="40"/>
                <w:szCs w:val="40"/>
              </w:rPr>
            </w:pPr>
            <w:r w:rsidRPr="00013450">
              <w:rPr>
                <w:rFonts w:ascii="Calibri" w:eastAsia="Times New Roman" w:hAnsi="Calibri" w:cs="Calibri"/>
                <w:b/>
                <w:bCs/>
                <w:color w:val="000000"/>
                <w:sz w:val="40"/>
                <w:szCs w:val="40"/>
              </w:rPr>
              <w:t>ZA I PÓŁROCZE 2020 ROKU</w:t>
            </w:r>
          </w:p>
        </w:tc>
      </w:tr>
      <w:tr w:rsidR="00013450" w:rsidRPr="00013450" w:rsidTr="00013450">
        <w:trPr>
          <w:trHeight w:val="525"/>
        </w:trPr>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r>
      <w:tr w:rsidR="00013450" w:rsidRPr="00013450" w:rsidTr="00013450">
        <w:trPr>
          <w:trHeight w:val="525"/>
        </w:trPr>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r>
      <w:tr w:rsidR="00013450" w:rsidRPr="00013450" w:rsidTr="00013450">
        <w:trPr>
          <w:trHeight w:val="525"/>
        </w:trPr>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r>
      <w:tr w:rsidR="00013450" w:rsidRPr="00013450" w:rsidTr="00013450">
        <w:trPr>
          <w:trHeight w:val="525"/>
        </w:trPr>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c>
          <w:tcPr>
            <w:tcW w:w="966" w:type="dxa"/>
            <w:tcBorders>
              <w:top w:val="nil"/>
              <w:left w:val="nil"/>
              <w:bottom w:val="nil"/>
              <w:right w:val="nil"/>
            </w:tcBorders>
            <w:shd w:val="clear" w:color="auto" w:fill="auto"/>
            <w:noWrap/>
            <w:vAlign w:val="bottom"/>
            <w:hideMark/>
          </w:tcPr>
          <w:p w:rsidR="00013450" w:rsidRPr="00013450" w:rsidRDefault="00013450" w:rsidP="00013450">
            <w:pPr>
              <w:widowControl/>
              <w:autoSpaceDE/>
              <w:autoSpaceDN/>
              <w:adjustRightInd/>
              <w:rPr>
                <w:rFonts w:ascii="Calibri" w:eastAsia="Times New Roman" w:hAnsi="Calibri" w:cs="Calibri"/>
                <w:color w:val="000000"/>
                <w:sz w:val="22"/>
                <w:szCs w:val="22"/>
              </w:rPr>
            </w:pPr>
          </w:p>
        </w:tc>
      </w:tr>
    </w:tbl>
    <w:p w:rsidR="00013450" w:rsidRDefault="00013450">
      <w:pPr>
        <w:widowControl/>
        <w:autoSpaceDE/>
        <w:autoSpaceDN/>
        <w:adjustRightInd/>
        <w:spacing w:after="160" w:line="259" w:lineRule="auto"/>
        <w:rPr>
          <w:rFonts w:ascii="Arial" w:hAnsi="Arial" w:cs="Arial"/>
          <w:b/>
          <w:sz w:val="28"/>
          <w:szCs w:val="28"/>
        </w:rPr>
      </w:pPr>
      <w:r>
        <w:rPr>
          <w:rFonts w:ascii="Arial" w:hAnsi="Arial" w:cs="Arial"/>
          <w:b/>
          <w:sz w:val="28"/>
          <w:szCs w:val="28"/>
        </w:rPr>
        <w:br w:type="page"/>
      </w:r>
    </w:p>
    <w:p w:rsidR="00A57158" w:rsidRDefault="00832CB2" w:rsidP="00A57158">
      <w:pPr>
        <w:ind w:firstLine="720"/>
        <w:rPr>
          <w:rFonts w:ascii="Arial" w:hAnsi="Arial" w:cs="Arial"/>
          <w:b/>
          <w:sz w:val="28"/>
          <w:szCs w:val="28"/>
        </w:rPr>
      </w:pPr>
      <w:r>
        <w:rPr>
          <w:noProof/>
        </w:rPr>
        <w:lastRenderedPageBreak/>
        <w:drawing>
          <wp:anchor distT="0" distB="0" distL="114300" distR="114300" simplePos="0" relativeHeight="251658240" behindDoc="1" locked="0" layoutInCell="1" allowOverlap="1" wp14:anchorId="3164CFA4" wp14:editId="037E9C00">
            <wp:simplePos x="0" y="0"/>
            <wp:positionH relativeFrom="column">
              <wp:posOffset>-5080</wp:posOffset>
            </wp:positionH>
            <wp:positionV relativeFrom="page">
              <wp:posOffset>647700</wp:posOffset>
            </wp:positionV>
            <wp:extent cx="1571625" cy="1732915"/>
            <wp:effectExtent l="0" t="0" r="0" b="0"/>
            <wp:wrapTight wrapText="bothSides">
              <wp:wrapPolygon edited="0">
                <wp:start x="0" y="0"/>
                <wp:lineTo x="0" y="15197"/>
                <wp:lineTo x="2880" y="19471"/>
                <wp:lineTo x="7069" y="21370"/>
                <wp:lineTo x="7855" y="21370"/>
                <wp:lineTo x="13615" y="21370"/>
                <wp:lineTo x="14400" y="21370"/>
                <wp:lineTo x="18589" y="19233"/>
                <wp:lineTo x="21469" y="15197"/>
                <wp:lineTo x="21469"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73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34B" w:rsidRPr="005B04F5">
        <w:rPr>
          <w:rFonts w:ascii="Arial" w:hAnsi="Arial" w:cs="Arial"/>
          <w:b/>
          <w:sz w:val="28"/>
          <w:szCs w:val="28"/>
        </w:rPr>
        <w:t xml:space="preserve">Informacja o kształtowaniu się Wieloletniej </w:t>
      </w:r>
    </w:p>
    <w:p w:rsidR="008307FE" w:rsidRDefault="00CB034B" w:rsidP="008307FE">
      <w:pPr>
        <w:jc w:val="center"/>
        <w:rPr>
          <w:rFonts w:ascii="Arial" w:hAnsi="Arial" w:cs="Arial"/>
          <w:b/>
          <w:sz w:val="28"/>
          <w:szCs w:val="28"/>
        </w:rPr>
      </w:pPr>
      <w:r w:rsidRPr="005B04F5">
        <w:rPr>
          <w:rFonts w:ascii="Arial" w:hAnsi="Arial" w:cs="Arial"/>
          <w:b/>
          <w:sz w:val="28"/>
          <w:szCs w:val="28"/>
        </w:rPr>
        <w:t xml:space="preserve">Prognozy Finansowej Gminy Rogoźno </w:t>
      </w:r>
    </w:p>
    <w:p w:rsidR="00CB034B" w:rsidRPr="005B04F5" w:rsidRDefault="00CB034B">
      <w:pPr>
        <w:spacing w:after="240"/>
        <w:jc w:val="center"/>
        <w:rPr>
          <w:rFonts w:ascii="Arial" w:hAnsi="Arial" w:cs="Calibri"/>
          <w:sz w:val="28"/>
          <w:szCs w:val="28"/>
        </w:rPr>
      </w:pPr>
      <w:r w:rsidRPr="005B04F5">
        <w:rPr>
          <w:rFonts w:ascii="Arial" w:hAnsi="Arial" w:cs="Arial"/>
          <w:b/>
          <w:sz w:val="28"/>
          <w:szCs w:val="28"/>
        </w:rPr>
        <w:t>za I półrocze 2020.</w:t>
      </w:r>
    </w:p>
    <w:p w:rsidR="005B04F5" w:rsidRDefault="005B04F5">
      <w:pPr>
        <w:spacing w:after="240"/>
        <w:jc w:val="both"/>
        <w:rPr>
          <w:rFonts w:ascii="Arial" w:hAnsi="Arial" w:cs="Arial"/>
          <w:b/>
        </w:rPr>
      </w:pPr>
    </w:p>
    <w:p w:rsidR="005B04F5" w:rsidRDefault="005B04F5">
      <w:pPr>
        <w:spacing w:after="240"/>
        <w:jc w:val="both"/>
        <w:rPr>
          <w:rFonts w:ascii="Arial" w:hAnsi="Arial" w:cs="Arial"/>
          <w:b/>
        </w:rPr>
      </w:pPr>
    </w:p>
    <w:p w:rsidR="005B04F5" w:rsidRDefault="005B04F5">
      <w:pPr>
        <w:spacing w:after="240"/>
        <w:jc w:val="both"/>
        <w:rPr>
          <w:rFonts w:ascii="Arial" w:hAnsi="Arial" w:cs="Arial"/>
          <w:b/>
        </w:rPr>
      </w:pPr>
    </w:p>
    <w:p w:rsidR="00CB034B" w:rsidRDefault="00CB034B">
      <w:pPr>
        <w:spacing w:after="240"/>
        <w:jc w:val="both"/>
        <w:rPr>
          <w:rFonts w:ascii="Arial" w:hAnsi="Arial" w:cs="Calibri"/>
        </w:rPr>
      </w:pPr>
      <w:r>
        <w:rPr>
          <w:rFonts w:ascii="Arial" w:hAnsi="Arial" w:cs="Arial"/>
          <w:b/>
        </w:rPr>
        <w:t>1. Wprowadzenie</w:t>
      </w:r>
    </w:p>
    <w:p w:rsidR="00CB034B" w:rsidRPr="0001560B" w:rsidRDefault="00CB034B">
      <w:pPr>
        <w:spacing w:after="240"/>
        <w:jc w:val="both"/>
        <w:rPr>
          <w:rFonts w:ascii="Arial" w:hAnsi="Arial" w:cs="Arial"/>
          <w:sz w:val="22"/>
        </w:rPr>
      </w:pPr>
      <w:r>
        <w:rPr>
          <w:rFonts w:ascii="Arial" w:hAnsi="Arial" w:cs="Arial"/>
          <w:sz w:val="22"/>
        </w:rPr>
        <w:t>Zgodnie z postanowieniem art. 266 ustawy z dnia 27 sierpnia 2009 r. o finansach publicznych zarząd jednostki samorządu terytorialnego zobowiązany jest przedstawić, w terminie do dnia 31 sierpnia, organowi stanowiącemu informację półroczną o kształtowaniu się wieloletniej prognozy finansowej, w tym o przebiegu realizacji przedsięwzięć, o których mowa w art. 226 ust. 3 ustawy o finansach publicznych. Informację, o której mowa wyżej, zarząd przedkłada również do dnia 31 sierpnia Regionalnej Izbie Obrachunkowej.</w:t>
      </w:r>
      <w:r w:rsidR="0001560B" w:rsidRPr="0001560B">
        <w:rPr>
          <w:rFonts w:ascii="Arial" w:hAnsi="Arial" w:cs="Arial"/>
          <w:sz w:val="22"/>
        </w:rPr>
        <w:t xml:space="preserve"> </w:t>
      </w:r>
      <w:r w:rsidR="0001560B" w:rsidRPr="004B3F43">
        <w:rPr>
          <w:rFonts w:ascii="Arial" w:hAnsi="Arial" w:cs="Arial"/>
          <w:sz w:val="22"/>
        </w:rPr>
        <w:t xml:space="preserve">W 2020 roku, w związku z </w:t>
      </w:r>
      <w:r w:rsidR="0001560B">
        <w:rPr>
          <w:rFonts w:ascii="Arial" w:hAnsi="Arial" w:cs="Arial"/>
          <w:sz w:val="22"/>
        </w:rPr>
        <w:t xml:space="preserve">Ustawą z dnia 2 marca 2020 r. o szczególnych rozwiązaniach związanych z zapobieganiem, przeciwdziałaniem i zwalczaniem COVID-19, innych chorób zakaźnych oraz wywołanych nimi sytuacji kryzysowych (Dz. U. z 2020, poz. 374 z </w:t>
      </w:r>
      <w:proofErr w:type="spellStart"/>
      <w:r w:rsidR="0001560B">
        <w:rPr>
          <w:rFonts w:ascii="Arial" w:hAnsi="Arial" w:cs="Arial"/>
          <w:sz w:val="22"/>
        </w:rPr>
        <w:t>późn</w:t>
      </w:r>
      <w:proofErr w:type="spellEnd"/>
      <w:r w:rsidR="0001560B">
        <w:rPr>
          <w:rFonts w:ascii="Arial" w:hAnsi="Arial" w:cs="Arial"/>
          <w:sz w:val="22"/>
        </w:rPr>
        <w:t>. zm.) oraz Rozporządzeniem Ministra Finansów z dnia 31 marca 2020 r. w sprawie określenia innych terminów wypełniania obowiązków w zakresie sporządzenia, zatwierdzenia, udostępnienia i przekazania do właściwego rejestru, jednostki lub organu sprawozdań lub informacji</w:t>
      </w:r>
      <w:r w:rsidR="0001560B" w:rsidRPr="004B3F43">
        <w:rPr>
          <w:rFonts w:ascii="Arial" w:hAnsi="Arial" w:cs="Arial"/>
          <w:sz w:val="22"/>
        </w:rPr>
        <w:t xml:space="preserve"> termin przedłożenia w/w informacji został wydłużony o 30 dni.</w:t>
      </w:r>
      <w:r w:rsidR="0001560B">
        <w:rPr>
          <w:rFonts w:ascii="Arial" w:hAnsi="Arial" w:cs="Arial"/>
          <w:sz w:val="22"/>
        </w:rPr>
        <w:t xml:space="preserve"> </w:t>
      </w:r>
    </w:p>
    <w:p w:rsidR="00CB034B" w:rsidRDefault="00CB034B">
      <w:pPr>
        <w:spacing w:after="240"/>
        <w:jc w:val="both"/>
        <w:rPr>
          <w:rFonts w:ascii="Arial" w:hAnsi="Arial" w:cs="Calibri"/>
          <w:sz w:val="22"/>
        </w:rPr>
      </w:pPr>
      <w:r>
        <w:rPr>
          <w:rFonts w:ascii="Arial" w:hAnsi="Arial" w:cs="Arial"/>
          <w:sz w:val="22"/>
        </w:rPr>
        <w:t>Podstawą opracowania informacji półrocznej o kształtowaniu się Wieloletniej Prognozy Finansowej była Wieloletnia Prognoza Finansowa Gminy Rogoźno na lata 2020-2037 oraz dane sprawozdawcze z wykonania budżetu Gminy Rogoźno za II kwartał 2020 roku.</w:t>
      </w:r>
    </w:p>
    <w:p w:rsidR="00CB034B" w:rsidRDefault="00CB034B">
      <w:pPr>
        <w:spacing w:after="240"/>
        <w:jc w:val="both"/>
        <w:rPr>
          <w:rFonts w:ascii="Arial" w:hAnsi="Arial" w:cs="Calibri"/>
          <w:sz w:val="22"/>
        </w:rPr>
      </w:pPr>
      <w:r>
        <w:rPr>
          <w:rFonts w:ascii="Arial" w:hAnsi="Arial" w:cs="Arial"/>
          <w:sz w:val="22"/>
        </w:rPr>
        <w:t>Wieloletnia Prognoza Finansowa Gminy Rogoźno na rok 2020 została przyjęta uchwałą</w:t>
      </w:r>
      <w:r w:rsidR="005B04F5">
        <w:rPr>
          <w:rFonts w:ascii="Arial" w:hAnsi="Arial" w:cs="Arial"/>
          <w:sz w:val="22"/>
        </w:rPr>
        <w:t xml:space="preserve"> nr  </w:t>
      </w:r>
      <w:r w:rsidR="005B04F5" w:rsidRPr="005B04F5">
        <w:rPr>
          <w:rFonts w:ascii="Arial" w:hAnsi="Arial" w:cs="Arial"/>
          <w:sz w:val="22"/>
        </w:rPr>
        <w:t>XIII/220/2019</w:t>
      </w:r>
      <w:r w:rsidR="005B04F5">
        <w:rPr>
          <w:rFonts w:ascii="Arial" w:hAnsi="Arial" w:cs="Arial"/>
          <w:sz w:val="22"/>
        </w:rPr>
        <w:t xml:space="preserve"> </w:t>
      </w:r>
      <w:r w:rsidR="00E3499C" w:rsidRPr="005B04F5">
        <w:rPr>
          <w:rFonts w:ascii="Arial" w:hAnsi="Arial" w:cs="Arial"/>
          <w:sz w:val="22"/>
        </w:rPr>
        <w:t xml:space="preserve">Rady Miejskiej w Rogoźnie </w:t>
      </w:r>
      <w:r w:rsidR="005B04F5">
        <w:rPr>
          <w:rFonts w:ascii="Arial" w:hAnsi="Arial" w:cs="Arial"/>
          <w:sz w:val="22"/>
        </w:rPr>
        <w:t>z dnia 18 grudnia 2019</w:t>
      </w:r>
      <w:r>
        <w:rPr>
          <w:rFonts w:ascii="Arial" w:hAnsi="Arial" w:cs="Arial"/>
          <w:sz w:val="22"/>
        </w:rPr>
        <w:t xml:space="preserve"> roku. Następnie zmieniona została uchwałami Rady Gminy Rogoźno:</w:t>
      </w:r>
    </w:p>
    <w:p w:rsidR="00CB034B" w:rsidRDefault="00CB034B">
      <w:pPr>
        <w:spacing w:after="240"/>
        <w:jc w:val="both"/>
        <w:rPr>
          <w:rFonts w:ascii="Arial" w:hAnsi="Arial" w:cs="Calibri"/>
          <w:sz w:val="22"/>
        </w:rPr>
      </w:pPr>
      <w:r>
        <w:rPr>
          <w:rFonts w:ascii="Arial" w:hAnsi="Arial" w:cs="Arial"/>
          <w:sz w:val="22"/>
        </w:rPr>
        <w:tab/>
        <w:t>1.</w:t>
      </w:r>
      <w:r w:rsidR="005B04F5">
        <w:rPr>
          <w:rFonts w:ascii="Arial" w:hAnsi="Arial" w:cs="Arial"/>
          <w:sz w:val="22"/>
        </w:rPr>
        <w:t xml:space="preserve"> </w:t>
      </w:r>
      <w:r w:rsidR="005B04F5" w:rsidRPr="005B04F5">
        <w:rPr>
          <w:rFonts w:ascii="Arial" w:hAnsi="Arial" w:cs="Arial"/>
          <w:sz w:val="22"/>
        </w:rPr>
        <w:t>Uchwała NR XXIX/292/2020 Rady Miejskiej w Rogoźnie z dnia 07.05.2020 w sprawie zmian Wieloletniej Prognozy Finansowej Gminy Rogoźno na lata 2020-2037.</w:t>
      </w:r>
    </w:p>
    <w:p w:rsidR="00CB034B" w:rsidRDefault="00CB034B">
      <w:pPr>
        <w:spacing w:after="240"/>
        <w:jc w:val="both"/>
        <w:rPr>
          <w:rFonts w:ascii="Arial" w:hAnsi="Arial" w:cs="Calibri"/>
          <w:sz w:val="22"/>
        </w:rPr>
      </w:pPr>
      <w:r>
        <w:rPr>
          <w:rFonts w:ascii="Arial" w:hAnsi="Arial" w:cs="Arial"/>
          <w:sz w:val="22"/>
        </w:rPr>
        <w:tab/>
        <w:t>2.</w:t>
      </w:r>
      <w:r w:rsidR="005B04F5">
        <w:rPr>
          <w:rFonts w:ascii="Arial" w:hAnsi="Arial" w:cs="Arial"/>
          <w:sz w:val="22"/>
        </w:rPr>
        <w:t xml:space="preserve"> </w:t>
      </w:r>
      <w:r w:rsidR="005B04F5" w:rsidRPr="005B04F5">
        <w:rPr>
          <w:rFonts w:ascii="Arial" w:hAnsi="Arial" w:cs="Arial"/>
          <w:sz w:val="22"/>
        </w:rPr>
        <w:t>Uchwała Nr XXXII/318/2020 Rady Miejskiej w Rogoźnie z dnia 19 czerwca 2020 r. w sprawie zmian Wieloletniej Prognozy Finansowej Gminy Rogoźno na lata 2020-2037</w:t>
      </w:r>
    </w:p>
    <w:p w:rsidR="00CB034B" w:rsidRDefault="00CB034B">
      <w:pPr>
        <w:spacing w:after="240"/>
        <w:jc w:val="both"/>
        <w:rPr>
          <w:rFonts w:ascii="Arial" w:hAnsi="Arial" w:cs="Calibri"/>
          <w:sz w:val="22"/>
        </w:rPr>
      </w:pPr>
      <w:r>
        <w:rPr>
          <w:rFonts w:ascii="Arial" w:hAnsi="Arial" w:cs="Arial"/>
          <w:sz w:val="22"/>
        </w:rPr>
        <w:t>Informacja o kształtowaniu się Wieloletniej Prognozy Finansowej za I półrocze 2020 roku sporządzona została w formie opisowej oraz tabelarycznej, w układzie przyjętym w Wieloletniej Prognozie Finansowej, obejmując:</w:t>
      </w:r>
    </w:p>
    <w:p w:rsidR="00CB034B" w:rsidRDefault="00CB034B">
      <w:pPr>
        <w:spacing w:after="240"/>
        <w:jc w:val="both"/>
        <w:rPr>
          <w:rFonts w:ascii="Arial" w:hAnsi="Arial" w:cs="Calibri"/>
          <w:sz w:val="22"/>
        </w:rPr>
      </w:pPr>
      <w:r>
        <w:rPr>
          <w:rFonts w:ascii="Arial" w:hAnsi="Arial" w:cs="Arial"/>
          <w:sz w:val="22"/>
        </w:rPr>
        <w:tab/>
        <w:t>– Wieloletnią Prognozę Finansową Gminy Rogoźno na lata 2020-2037 (załącznik 1);</w:t>
      </w:r>
    </w:p>
    <w:p w:rsidR="00CB034B" w:rsidRDefault="00CB034B">
      <w:pPr>
        <w:spacing w:after="240"/>
        <w:jc w:val="both"/>
        <w:rPr>
          <w:rFonts w:ascii="Arial" w:hAnsi="Arial" w:cs="Calibri"/>
          <w:sz w:val="22"/>
        </w:rPr>
      </w:pPr>
      <w:r>
        <w:rPr>
          <w:rFonts w:ascii="Arial" w:hAnsi="Arial" w:cs="Arial"/>
          <w:sz w:val="22"/>
        </w:rPr>
        <w:tab/>
        <w:t>– wykaz przedsięwzięć wieloletnich Gminy Rogoźno (załącznik 2).</w:t>
      </w:r>
    </w:p>
    <w:p w:rsidR="00CB034B" w:rsidRDefault="00CB034B">
      <w:pPr>
        <w:spacing w:after="240"/>
        <w:jc w:val="both"/>
        <w:rPr>
          <w:rFonts w:ascii="Arial" w:hAnsi="Arial" w:cs="Calibri"/>
          <w:sz w:val="22"/>
        </w:rPr>
      </w:pPr>
      <w:r>
        <w:rPr>
          <w:rFonts w:ascii="Arial" w:hAnsi="Arial" w:cs="Arial"/>
          <w:sz w:val="22"/>
        </w:rPr>
        <w:t xml:space="preserve">Zgodnie z zapisami art. 229 ustawy o finansach publicznych wartości przyjęte w Wieloletniej Prognozie Finansowej i budżecie są zgodne w zakresie wyniku i związanych z nim kwot </w:t>
      </w:r>
      <w:r>
        <w:rPr>
          <w:rFonts w:ascii="Arial" w:hAnsi="Arial" w:cs="Arial"/>
          <w:sz w:val="22"/>
        </w:rPr>
        <w:lastRenderedPageBreak/>
        <w:t>przychodów i rozchodów oraz długu jednostki samorządu terytorialnego.</w:t>
      </w:r>
    </w:p>
    <w:p w:rsidR="00CB034B" w:rsidRDefault="00CB034B">
      <w:pPr>
        <w:spacing w:after="240"/>
        <w:jc w:val="both"/>
        <w:rPr>
          <w:rFonts w:ascii="Arial" w:hAnsi="Arial" w:cs="Calibri"/>
        </w:rPr>
      </w:pPr>
      <w:r>
        <w:rPr>
          <w:rFonts w:ascii="Arial" w:hAnsi="Arial" w:cs="Arial"/>
          <w:b/>
        </w:rPr>
        <w:t>2. Dochody</w:t>
      </w:r>
    </w:p>
    <w:p w:rsidR="00CB034B" w:rsidRDefault="00CB034B">
      <w:pPr>
        <w:spacing w:after="240"/>
        <w:jc w:val="both"/>
        <w:rPr>
          <w:rFonts w:ascii="Arial" w:hAnsi="Arial" w:cs="Calibri"/>
          <w:sz w:val="22"/>
        </w:rPr>
      </w:pPr>
      <w:r>
        <w:rPr>
          <w:rFonts w:ascii="Arial" w:hAnsi="Arial" w:cs="Arial"/>
          <w:sz w:val="22"/>
        </w:rPr>
        <w:t>Plan dochodów budżetu Gminy Rogoźno na dzień 30.06.2020 r. po zmianach wynosił ogółem 87 313 857,18 zł, wykonanie po II kwartale roku budżetowego 2020 wynosiło 46 309 657,27 zł, tj. 53,04%.</w:t>
      </w:r>
    </w:p>
    <w:p w:rsidR="00CB034B" w:rsidRPr="005B04F5" w:rsidRDefault="00CB034B">
      <w:pPr>
        <w:spacing w:after="240"/>
        <w:jc w:val="both"/>
        <w:rPr>
          <w:rFonts w:ascii="Arial" w:hAnsi="Arial" w:cs="Calibri"/>
          <w:b/>
          <w:sz w:val="22"/>
        </w:rPr>
      </w:pPr>
      <w:r w:rsidRPr="005B04F5">
        <w:rPr>
          <w:rFonts w:ascii="Arial" w:hAnsi="Arial" w:cs="Arial"/>
          <w:b/>
          <w:sz w:val="22"/>
        </w:rPr>
        <w:t>Dochody obejmują:</w:t>
      </w:r>
    </w:p>
    <w:p w:rsidR="00CB034B" w:rsidRDefault="00CB034B">
      <w:pPr>
        <w:spacing w:after="60"/>
        <w:rPr>
          <w:rFonts w:ascii="Arial" w:hAnsi="Arial" w:cs="Calibri"/>
          <w:sz w:val="22"/>
        </w:rPr>
      </w:pPr>
      <w:r>
        <w:rPr>
          <w:rFonts w:ascii="Arial" w:hAnsi="Arial" w:cs="Arial"/>
          <w:sz w:val="22"/>
        </w:rPr>
        <w:tab/>
      </w:r>
      <w:r w:rsidRPr="005B04F5">
        <w:rPr>
          <w:rFonts w:ascii="Arial" w:hAnsi="Arial" w:cs="Arial"/>
          <w:b/>
          <w:sz w:val="22"/>
        </w:rPr>
        <w:t>1.</w:t>
      </w:r>
      <w:r>
        <w:rPr>
          <w:rFonts w:ascii="Arial" w:hAnsi="Arial" w:cs="Arial"/>
          <w:sz w:val="22"/>
        </w:rPr>
        <w:t> </w:t>
      </w:r>
      <w:r w:rsidRPr="005B04F5">
        <w:rPr>
          <w:rFonts w:ascii="Arial" w:hAnsi="Arial" w:cs="Arial"/>
          <w:b/>
          <w:sz w:val="22"/>
        </w:rPr>
        <w:t>dochody bieżące</w:t>
      </w:r>
      <w:r>
        <w:rPr>
          <w:rFonts w:ascii="Arial" w:hAnsi="Arial" w:cs="Arial"/>
          <w:sz w:val="22"/>
        </w:rPr>
        <w:t xml:space="preserve"> – zaplanowane w kwocie 85 402 699,68 zł, wykonane na dzień 30.06.2020 r. w kwocie 44 760 333,14 zł, tj. 52,41%, w tym:</w:t>
      </w:r>
    </w:p>
    <w:p w:rsidR="00CB034B" w:rsidRDefault="00CB034B">
      <w:pPr>
        <w:spacing w:after="60"/>
        <w:rPr>
          <w:rFonts w:ascii="Arial" w:hAnsi="Arial" w:cs="Calibri"/>
          <w:sz w:val="22"/>
        </w:rPr>
      </w:pPr>
      <w:r>
        <w:rPr>
          <w:rFonts w:ascii="Arial" w:hAnsi="Arial" w:cs="Arial"/>
          <w:sz w:val="22"/>
        </w:rPr>
        <w:tab/>
      </w:r>
      <w:r>
        <w:rPr>
          <w:rFonts w:ascii="Arial" w:hAnsi="Arial" w:cs="Arial"/>
          <w:sz w:val="22"/>
        </w:rPr>
        <w:tab/>
        <w:t>1) dochody z tytułu udziału we wpływach z podatku dochodowego od osób fizycznych (PIT) – zaplanowane w kwocie 14 157 320,00 zł, wykonane na dzień 30.06.2020 r. w kwocie 6 054 908,00 zł, tj. 42,77%;</w:t>
      </w:r>
    </w:p>
    <w:p w:rsidR="00CB034B" w:rsidRDefault="00CB034B">
      <w:pPr>
        <w:spacing w:after="60"/>
        <w:rPr>
          <w:rFonts w:ascii="Arial" w:hAnsi="Arial" w:cs="Calibri"/>
          <w:sz w:val="22"/>
        </w:rPr>
      </w:pPr>
      <w:r>
        <w:rPr>
          <w:rFonts w:ascii="Arial" w:hAnsi="Arial" w:cs="Arial"/>
          <w:sz w:val="22"/>
        </w:rPr>
        <w:tab/>
      </w:r>
      <w:r>
        <w:rPr>
          <w:rFonts w:ascii="Arial" w:hAnsi="Arial" w:cs="Arial"/>
          <w:sz w:val="22"/>
        </w:rPr>
        <w:tab/>
        <w:t>2) dochody z tytułu udziału we wpływach z podatku dochodowego od osób prawnych (CIT) – zaplanowane w kwocie 1 200 000,00 zł, wykonane na dzień 30.06.2020 r. w kwocie 562 098,23 zł, tj. 46,84%;</w:t>
      </w:r>
    </w:p>
    <w:p w:rsidR="00CB034B" w:rsidRDefault="00CB034B">
      <w:pPr>
        <w:spacing w:after="60"/>
        <w:rPr>
          <w:rFonts w:ascii="Arial" w:hAnsi="Arial" w:cs="Calibri"/>
          <w:sz w:val="22"/>
        </w:rPr>
      </w:pPr>
      <w:r>
        <w:rPr>
          <w:rFonts w:ascii="Arial" w:hAnsi="Arial" w:cs="Arial"/>
          <w:sz w:val="22"/>
        </w:rPr>
        <w:tab/>
      </w:r>
      <w:r>
        <w:rPr>
          <w:rFonts w:ascii="Arial" w:hAnsi="Arial" w:cs="Arial"/>
          <w:sz w:val="22"/>
        </w:rPr>
        <w:tab/>
        <w:t>3) dochody z subwencji ogólnej – zaplanowane w kwocie 20 182 383,00 zł, wykonane na dzień 30.06.2020 r. w kwocie 11 803 452,00 zł, tj. 58,48%;</w:t>
      </w:r>
    </w:p>
    <w:p w:rsidR="00CB034B" w:rsidRDefault="00CB034B">
      <w:pPr>
        <w:spacing w:after="60"/>
        <w:rPr>
          <w:rFonts w:ascii="Arial" w:hAnsi="Arial" w:cs="Calibri"/>
          <w:sz w:val="22"/>
        </w:rPr>
      </w:pPr>
      <w:r>
        <w:rPr>
          <w:rFonts w:ascii="Arial" w:hAnsi="Arial" w:cs="Arial"/>
          <w:sz w:val="22"/>
        </w:rPr>
        <w:tab/>
      </w:r>
      <w:r>
        <w:rPr>
          <w:rFonts w:ascii="Arial" w:hAnsi="Arial" w:cs="Arial"/>
          <w:sz w:val="22"/>
        </w:rPr>
        <w:tab/>
        <w:t>4) dochody z tytułu dotacji i środków przeznaczonych na cele bieżące – zaplanowane w kwocie 30 149 750,91 zł, wykonane na dzień 30.06.2020 r. w kwocie 17 523 532,87 zł, tj. 58,12%;</w:t>
      </w:r>
    </w:p>
    <w:p w:rsidR="00CB034B" w:rsidRDefault="00CB034B">
      <w:pPr>
        <w:spacing w:after="240"/>
        <w:jc w:val="both"/>
        <w:rPr>
          <w:rFonts w:ascii="Arial" w:hAnsi="Arial" w:cs="Calibri"/>
          <w:sz w:val="22"/>
        </w:rPr>
      </w:pPr>
      <w:r>
        <w:rPr>
          <w:rFonts w:ascii="Arial" w:hAnsi="Arial" w:cs="Arial"/>
          <w:sz w:val="22"/>
        </w:rPr>
        <w:tab/>
      </w:r>
      <w:r>
        <w:rPr>
          <w:rFonts w:ascii="Arial" w:hAnsi="Arial" w:cs="Arial"/>
          <w:sz w:val="22"/>
        </w:rPr>
        <w:tab/>
        <w:t>5) pozostałe dochody bieżące – zaplanowane w kwocie 19 713 245,77 zł, wykonane na dzień 30.06.2020 r. w kwocie 8 816 342,04 zł, tj. 44,72%.</w:t>
      </w:r>
    </w:p>
    <w:p w:rsidR="00CB034B" w:rsidRDefault="00CB034B">
      <w:pPr>
        <w:spacing w:after="60"/>
        <w:rPr>
          <w:rFonts w:ascii="Arial" w:hAnsi="Arial" w:cs="Calibri"/>
          <w:sz w:val="22"/>
        </w:rPr>
      </w:pPr>
      <w:r>
        <w:rPr>
          <w:rFonts w:ascii="Arial" w:hAnsi="Arial" w:cs="Arial"/>
          <w:sz w:val="22"/>
        </w:rPr>
        <w:tab/>
      </w:r>
      <w:r w:rsidRPr="005B04F5">
        <w:rPr>
          <w:rFonts w:ascii="Arial" w:hAnsi="Arial" w:cs="Arial"/>
          <w:b/>
          <w:sz w:val="22"/>
        </w:rPr>
        <w:t>2. dochody majątkowe</w:t>
      </w:r>
      <w:r>
        <w:rPr>
          <w:rFonts w:ascii="Arial" w:hAnsi="Arial" w:cs="Arial"/>
          <w:sz w:val="22"/>
        </w:rPr>
        <w:t xml:space="preserve"> – zaplanowane w kwocie 1 911 157,50 zł, wykonane na dzień 30.06.2020 r. w kwocie 1 549 324,13 zł, tj. 81,07%, w tym:</w:t>
      </w:r>
    </w:p>
    <w:p w:rsidR="00CB034B" w:rsidRDefault="00CB034B">
      <w:pPr>
        <w:spacing w:after="60"/>
        <w:rPr>
          <w:rFonts w:ascii="Arial" w:hAnsi="Arial" w:cs="Calibri"/>
          <w:sz w:val="22"/>
        </w:rPr>
      </w:pPr>
      <w:r>
        <w:rPr>
          <w:rFonts w:ascii="Arial" w:hAnsi="Arial" w:cs="Arial"/>
          <w:sz w:val="22"/>
        </w:rPr>
        <w:tab/>
      </w:r>
      <w:r>
        <w:rPr>
          <w:rFonts w:ascii="Arial" w:hAnsi="Arial" w:cs="Arial"/>
          <w:sz w:val="22"/>
        </w:rPr>
        <w:tab/>
        <w:t>1) dochody ze sprzedaży majątku – zaplanowane w kwocie 1 660 000,00 zł, wykonane na dzień 30.06.2020 r. w kwocie 1 289 741,78 zł,  tj. 77,70%;</w:t>
      </w:r>
    </w:p>
    <w:p w:rsidR="00CB034B" w:rsidRDefault="00CB034B">
      <w:pPr>
        <w:spacing w:after="240"/>
        <w:jc w:val="both"/>
        <w:rPr>
          <w:rFonts w:ascii="Arial" w:hAnsi="Arial" w:cs="Calibri"/>
          <w:sz w:val="22"/>
        </w:rPr>
      </w:pPr>
      <w:r>
        <w:rPr>
          <w:rFonts w:ascii="Arial" w:hAnsi="Arial" w:cs="Arial"/>
          <w:sz w:val="22"/>
        </w:rPr>
        <w:tab/>
      </w:r>
      <w:r>
        <w:rPr>
          <w:rFonts w:ascii="Arial" w:hAnsi="Arial" w:cs="Arial"/>
          <w:sz w:val="22"/>
        </w:rPr>
        <w:tab/>
        <w:t>2) z tytułu dotacji oraz środków przeznaczonych na inwestycje – zaplanowane w kwocie 201 157,50 zł, wykonane na dzień 30.06.2020 r. w kwocie 201 157,50 zł,  tj. 100,00%.</w:t>
      </w:r>
    </w:p>
    <w:p w:rsidR="00CB034B" w:rsidRDefault="00CB034B">
      <w:pPr>
        <w:spacing w:after="240"/>
        <w:jc w:val="both"/>
        <w:rPr>
          <w:rFonts w:ascii="Arial" w:hAnsi="Arial" w:cs="Calibri"/>
        </w:rPr>
      </w:pPr>
      <w:r>
        <w:rPr>
          <w:rFonts w:ascii="Arial" w:hAnsi="Arial" w:cs="Arial"/>
          <w:b/>
        </w:rPr>
        <w:t>3. Wydatki</w:t>
      </w:r>
    </w:p>
    <w:p w:rsidR="00CB034B" w:rsidRDefault="00CB034B">
      <w:pPr>
        <w:spacing w:after="240"/>
        <w:jc w:val="both"/>
        <w:rPr>
          <w:rFonts w:ascii="Arial" w:hAnsi="Arial" w:cs="Calibri"/>
          <w:sz w:val="22"/>
        </w:rPr>
      </w:pPr>
      <w:r>
        <w:rPr>
          <w:rFonts w:ascii="Arial" w:hAnsi="Arial" w:cs="Arial"/>
          <w:sz w:val="22"/>
        </w:rPr>
        <w:t>Plan wydatków budżetu Gminy Rogoźno na dzień 30.06.2020 r. po zmianach wynosił ogółem 92 115 266,71 zł, wykonanie po II kwartale roku budżetowego 2020 wynosiło 45 263 452,40 zł, tj. 49,14%.</w:t>
      </w:r>
    </w:p>
    <w:p w:rsidR="00CB034B" w:rsidRDefault="00CB034B">
      <w:pPr>
        <w:spacing w:after="240"/>
        <w:jc w:val="both"/>
        <w:rPr>
          <w:rFonts w:ascii="Arial" w:hAnsi="Arial" w:cs="Calibri"/>
          <w:sz w:val="22"/>
        </w:rPr>
      </w:pPr>
      <w:r w:rsidRPr="005B04F5">
        <w:rPr>
          <w:rFonts w:ascii="Arial" w:hAnsi="Arial" w:cs="Arial"/>
          <w:b/>
          <w:sz w:val="22"/>
        </w:rPr>
        <w:t>Wydatki obejmują</w:t>
      </w:r>
      <w:r>
        <w:rPr>
          <w:rFonts w:ascii="Arial" w:hAnsi="Arial" w:cs="Arial"/>
          <w:sz w:val="22"/>
        </w:rPr>
        <w:t>:</w:t>
      </w:r>
    </w:p>
    <w:p w:rsidR="00CB034B" w:rsidRDefault="00CB034B">
      <w:pPr>
        <w:spacing w:after="60"/>
        <w:rPr>
          <w:rFonts w:ascii="Arial" w:hAnsi="Arial" w:cs="Calibri"/>
          <w:sz w:val="22"/>
        </w:rPr>
      </w:pPr>
      <w:r>
        <w:rPr>
          <w:rFonts w:ascii="Arial" w:hAnsi="Arial" w:cs="Arial"/>
          <w:sz w:val="22"/>
        </w:rPr>
        <w:tab/>
      </w:r>
      <w:r w:rsidRPr="005B04F5">
        <w:rPr>
          <w:rFonts w:ascii="Arial" w:hAnsi="Arial" w:cs="Arial"/>
          <w:b/>
          <w:sz w:val="22"/>
        </w:rPr>
        <w:t>1. wydatki bieżące</w:t>
      </w:r>
      <w:r>
        <w:rPr>
          <w:rFonts w:ascii="Arial" w:hAnsi="Arial" w:cs="Arial"/>
          <w:sz w:val="22"/>
        </w:rPr>
        <w:t xml:space="preserve"> – zaplanowane w kwocie 84 866 173,06 zł, wykonane na dzień 30.06.2020 r. w kwocie 43 327 056,08 zł, tj. 51,05%, w tym:</w:t>
      </w:r>
    </w:p>
    <w:p w:rsidR="00CB034B" w:rsidRDefault="00CB034B">
      <w:pPr>
        <w:spacing w:after="240"/>
        <w:jc w:val="both"/>
        <w:rPr>
          <w:rFonts w:ascii="Arial" w:hAnsi="Arial" w:cs="Calibri"/>
          <w:sz w:val="22"/>
        </w:rPr>
      </w:pPr>
      <w:r>
        <w:rPr>
          <w:rFonts w:ascii="Arial" w:hAnsi="Arial" w:cs="Arial"/>
          <w:sz w:val="22"/>
        </w:rPr>
        <w:tab/>
      </w:r>
      <w:r>
        <w:rPr>
          <w:rFonts w:ascii="Arial" w:hAnsi="Arial" w:cs="Arial"/>
          <w:sz w:val="22"/>
        </w:rPr>
        <w:tab/>
        <w:t>1) wydatki na obsługę długu – zaplanowane w kwocie 376 000,00 zł, wykonane na dzień 30.06.2020 r. w kwocie 149 351,80 zł, tj. 39,72%.</w:t>
      </w:r>
    </w:p>
    <w:p w:rsidR="00CB034B" w:rsidRDefault="00CB034B">
      <w:pPr>
        <w:spacing w:after="240"/>
        <w:jc w:val="both"/>
        <w:rPr>
          <w:rFonts w:ascii="Arial" w:hAnsi="Arial" w:cs="Calibri"/>
          <w:sz w:val="22"/>
        </w:rPr>
      </w:pPr>
      <w:r>
        <w:rPr>
          <w:rFonts w:ascii="Arial" w:hAnsi="Arial" w:cs="Arial"/>
          <w:sz w:val="22"/>
        </w:rPr>
        <w:tab/>
      </w:r>
      <w:r w:rsidRPr="005B04F5">
        <w:rPr>
          <w:rFonts w:ascii="Arial" w:hAnsi="Arial" w:cs="Arial"/>
          <w:b/>
          <w:sz w:val="22"/>
        </w:rPr>
        <w:t>2. wydatki majątkowe</w:t>
      </w:r>
      <w:r>
        <w:rPr>
          <w:rFonts w:ascii="Arial" w:hAnsi="Arial" w:cs="Arial"/>
          <w:sz w:val="22"/>
        </w:rPr>
        <w:t xml:space="preserve"> – zaplanowane w kwocie 7 249 093,65 zł, wykonane na dzień 30.06.2020 r. w kwocie 1 936 396,32 zł, tj. 26,71%.</w:t>
      </w:r>
    </w:p>
    <w:p w:rsidR="00CB034B" w:rsidRDefault="00CB034B">
      <w:pPr>
        <w:spacing w:after="240"/>
        <w:jc w:val="both"/>
        <w:rPr>
          <w:rFonts w:ascii="Arial" w:hAnsi="Arial" w:cs="Calibri"/>
        </w:rPr>
      </w:pPr>
      <w:r>
        <w:rPr>
          <w:rFonts w:ascii="Arial" w:hAnsi="Arial" w:cs="Arial"/>
          <w:b/>
        </w:rPr>
        <w:lastRenderedPageBreak/>
        <w:t>4. Wynik wykonania budżetu</w:t>
      </w:r>
    </w:p>
    <w:p w:rsidR="00CB034B" w:rsidRDefault="00CB034B">
      <w:pPr>
        <w:spacing w:after="240"/>
        <w:jc w:val="both"/>
        <w:rPr>
          <w:rFonts w:ascii="Arial" w:hAnsi="Arial" w:cs="Calibri"/>
          <w:sz w:val="22"/>
        </w:rPr>
      </w:pPr>
      <w:r>
        <w:rPr>
          <w:rFonts w:ascii="Arial" w:hAnsi="Arial" w:cs="Arial"/>
          <w:sz w:val="22"/>
        </w:rPr>
        <w:t>Dochody Gminy Rogoźno zostały zrealizowane w wysokości 46 309 657,27 zł. Na realizację zadań gminnych przeznaczono kwotę 45 263 452,40 zł. Oznacza to, że w I półroczu odnotowano nadwyżkę budżetową w wysokości 1 046 204,87 zł.</w:t>
      </w:r>
    </w:p>
    <w:p w:rsidR="00CB034B" w:rsidRDefault="00CB034B">
      <w:pPr>
        <w:spacing w:after="240"/>
        <w:jc w:val="both"/>
        <w:rPr>
          <w:rFonts w:ascii="Arial" w:hAnsi="Arial" w:cs="Calibri"/>
          <w:sz w:val="22"/>
        </w:rPr>
      </w:pPr>
      <w:r>
        <w:rPr>
          <w:rFonts w:ascii="Arial" w:hAnsi="Arial" w:cs="Arial"/>
          <w:sz w:val="22"/>
        </w:rPr>
        <w:t>Saldo operacyjne budżetu art. 242 (dochody bieżące − wydatki bieżące) osiągnęło wartość dodatnią i wyniosło 1 433 277,06 zł</w:t>
      </w:r>
    </w:p>
    <w:p w:rsidR="00CB034B" w:rsidRDefault="00CB034B">
      <w:pPr>
        <w:spacing w:after="240"/>
        <w:jc w:val="both"/>
        <w:rPr>
          <w:rFonts w:ascii="Arial" w:hAnsi="Arial" w:cs="Calibri"/>
        </w:rPr>
      </w:pPr>
      <w:r>
        <w:rPr>
          <w:rFonts w:ascii="Arial" w:hAnsi="Arial" w:cs="Arial"/>
          <w:b/>
        </w:rPr>
        <w:t>5. Przychody</w:t>
      </w:r>
    </w:p>
    <w:p w:rsidR="00CB034B" w:rsidRDefault="00CB034B">
      <w:pPr>
        <w:spacing w:after="240"/>
        <w:jc w:val="both"/>
        <w:rPr>
          <w:rFonts w:ascii="Arial" w:hAnsi="Arial" w:cs="Calibri"/>
          <w:sz w:val="22"/>
        </w:rPr>
      </w:pPr>
      <w:r>
        <w:rPr>
          <w:rFonts w:ascii="Arial" w:hAnsi="Arial" w:cs="Arial"/>
          <w:sz w:val="22"/>
        </w:rPr>
        <w:t>Przychody budżetu na dzień 30.06.2020 r. zrealizowano na łączną kwotę 4 057 050,16 zł, w tym:</w:t>
      </w:r>
    </w:p>
    <w:p w:rsidR="00CB034B" w:rsidRDefault="00CB034B">
      <w:pPr>
        <w:spacing w:after="240"/>
        <w:jc w:val="both"/>
        <w:rPr>
          <w:rFonts w:ascii="Arial" w:hAnsi="Arial" w:cs="Calibri"/>
          <w:sz w:val="22"/>
        </w:rPr>
      </w:pPr>
      <w:r>
        <w:rPr>
          <w:rFonts w:ascii="Arial" w:hAnsi="Arial" w:cs="Arial"/>
          <w:sz w:val="22"/>
        </w:rPr>
        <w:tab/>
        <w:t>– wolne środki, o których mowa w art. 217 ust. 2 pkt 6 ustawy – 4 057 050,16 zł, tj. 130,52%</w:t>
      </w:r>
    </w:p>
    <w:p w:rsidR="00CB034B" w:rsidRDefault="00CB034B">
      <w:pPr>
        <w:spacing w:after="240"/>
        <w:jc w:val="both"/>
        <w:rPr>
          <w:rFonts w:ascii="Arial" w:hAnsi="Arial" w:cs="Calibri"/>
        </w:rPr>
      </w:pPr>
      <w:r>
        <w:rPr>
          <w:rFonts w:ascii="Arial" w:hAnsi="Arial" w:cs="Arial"/>
          <w:b/>
        </w:rPr>
        <w:t>6. Rozchody</w:t>
      </w:r>
    </w:p>
    <w:p w:rsidR="00CB034B" w:rsidRDefault="00CB034B">
      <w:pPr>
        <w:spacing w:after="240"/>
        <w:jc w:val="both"/>
        <w:rPr>
          <w:rFonts w:ascii="Arial" w:hAnsi="Arial" w:cs="Arial"/>
          <w:sz w:val="22"/>
        </w:rPr>
      </w:pPr>
      <w:r>
        <w:rPr>
          <w:rFonts w:ascii="Arial" w:hAnsi="Arial" w:cs="Arial"/>
          <w:sz w:val="22"/>
        </w:rPr>
        <w:t>Rozchody budżetu na dzień 30.06.2020 r. zrealizowano na łączną kwotę 250 000,00 zł, tj. 13,04% planu.</w:t>
      </w:r>
    </w:p>
    <w:p w:rsidR="005B04F5" w:rsidRPr="005B04F5" w:rsidRDefault="005B04F5" w:rsidP="005B04F5">
      <w:pPr>
        <w:spacing w:after="240"/>
        <w:jc w:val="both"/>
        <w:rPr>
          <w:rFonts w:ascii="Arial" w:hAnsi="Arial" w:cs="Calibri"/>
          <w:b/>
        </w:rPr>
      </w:pPr>
      <w:r w:rsidRPr="005B04F5">
        <w:rPr>
          <w:rFonts w:ascii="Arial" w:hAnsi="Arial" w:cs="Calibri"/>
          <w:b/>
        </w:rPr>
        <w:t>7. Spełnienie relacji z art. 243 UOFP</w:t>
      </w:r>
    </w:p>
    <w:p w:rsidR="005B04F5" w:rsidRPr="005B04F5" w:rsidRDefault="005B04F5" w:rsidP="005B04F5">
      <w:pPr>
        <w:spacing w:after="240"/>
        <w:jc w:val="both"/>
        <w:rPr>
          <w:rFonts w:ascii="Arial" w:hAnsi="Arial" w:cs="Calibri"/>
          <w:sz w:val="22"/>
        </w:rPr>
      </w:pPr>
      <w:r w:rsidRPr="005B04F5">
        <w:rPr>
          <w:rFonts w:ascii="Arial" w:hAnsi="Arial" w:cs="Calibri"/>
          <w:sz w:val="22"/>
        </w:rPr>
        <w:t>Zgodnie z art. 243 ust. 1 ustawy z dnia 27 sierpnia 2009 r. o finansach publicznych (tj. Dz. U. z 2019 r. poz. 869 ze zm.) od 1 stycznia 2014 r. obowiązuje indywidualny wskaźnik zadłużenia dla samorządów, który uległ modyfikacji z początkiem roku budżetowego 2020, a następnie zmieniony został przepisami związanymi z przeciwdziałaniem COVID-19.</w:t>
      </w:r>
    </w:p>
    <w:p w:rsidR="005B04F5" w:rsidRDefault="005B04F5" w:rsidP="005B04F5">
      <w:pPr>
        <w:spacing w:after="240"/>
        <w:jc w:val="both"/>
        <w:rPr>
          <w:rFonts w:ascii="Arial" w:hAnsi="Arial" w:cs="Calibri"/>
          <w:sz w:val="18"/>
          <w:szCs w:val="18"/>
        </w:rPr>
      </w:pPr>
      <w:r w:rsidRPr="005B04F5">
        <w:rPr>
          <w:rFonts w:ascii="Arial" w:hAnsi="Arial" w:cs="Calibri"/>
          <w:sz w:val="18"/>
          <w:szCs w:val="18"/>
        </w:rPr>
        <w:t>Wykres 1. Relacja z art. 243 UOFP</w:t>
      </w:r>
    </w:p>
    <w:p w:rsidR="005B04F5" w:rsidRDefault="00832CB2" w:rsidP="005B04F5">
      <w:pPr>
        <w:spacing w:after="240"/>
        <w:jc w:val="both"/>
        <w:rPr>
          <w:rFonts w:ascii="Arial" w:hAnsi="Arial" w:cs="Calibri"/>
          <w:sz w:val="18"/>
          <w:szCs w:val="18"/>
        </w:rPr>
      </w:pPr>
      <w:r>
        <w:rPr>
          <w:noProof/>
        </w:rPr>
        <w:lastRenderedPageBreak/>
        <w:drawing>
          <wp:inline distT="0" distB="0" distL="0" distR="0">
            <wp:extent cx="6457950" cy="3686175"/>
            <wp:effectExtent l="0" t="0" r="0" b="0"/>
            <wp:docPr id="1"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193E" w:rsidRDefault="00FB1906" w:rsidP="00FB1906">
      <w:pPr>
        <w:spacing w:after="240"/>
        <w:jc w:val="both"/>
        <w:rPr>
          <w:rFonts w:ascii="Arial" w:hAnsi="Arial" w:cs="Calibri"/>
          <w:sz w:val="22"/>
          <w:szCs w:val="22"/>
        </w:rPr>
      </w:pPr>
      <w:r>
        <w:rPr>
          <w:rFonts w:ascii="Arial" w:hAnsi="Arial" w:cs="Arial"/>
          <w:sz w:val="22"/>
          <w:szCs w:val="22"/>
        </w:rPr>
        <w:t>Gmina Rogoźno</w:t>
      </w:r>
      <w:r w:rsidRPr="00FB1906">
        <w:rPr>
          <w:rFonts w:ascii="Arial" w:hAnsi="Arial" w:cs="Arial"/>
          <w:sz w:val="22"/>
          <w:szCs w:val="22"/>
        </w:rPr>
        <w:t xml:space="preserve"> jest w dobrej kondycji finansowej. Wskaźnik z art. 243 ustawy o finansach publicznych kształtuje się na dozwolonym poziomie, corocznie pozwala na zachowanie zapasu między maksymalną a faktyczną obsługą zadłużenia.</w:t>
      </w:r>
      <w:r w:rsidR="00B5193E">
        <w:rPr>
          <w:rFonts w:ascii="Arial" w:hAnsi="Arial" w:cs="Arial"/>
          <w:sz w:val="22"/>
          <w:szCs w:val="22"/>
        </w:rPr>
        <w:t xml:space="preserve"> Od 2027 roku Obsługa zadłużenia kształtuje się na bardzo stabilnym poziomie. </w:t>
      </w:r>
    </w:p>
    <w:p w:rsidR="00FB1906" w:rsidRPr="00B5193E" w:rsidRDefault="00FB1906" w:rsidP="00FB1906">
      <w:pPr>
        <w:spacing w:after="240"/>
        <w:jc w:val="both"/>
        <w:rPr>
          <w:rFonts w:ascii="Arial" w:hAnsi="Arial" w:cs="Calibri"/>
          <w:sz w:val="22"/>
          <w:szCs w:val="22"/>
        </w:rPr>
      </w:pPr>
      <w:r w:rsidRPr="00007D18">
        <w:rPr>
          <w:rFonts w:ascii="Arial" w:hAnsi="Arial" w:cs="Calibri"/>
          <w:b/>
          <w:sz w:val="22"/>
          <w:szCs w:val="22"/>
        </w:rPr>
        <w:t>8. Informacja o przebiegu realizacji przedsięwzięć określonych w Uchwale o Wieloletniej Prognozie Finansowej</w:t>
      </w:r>
    </w:p>
    <w:p w:rsidR="00FB1906" w:rsidRDefault="00FB1906" w:rsidP="00FB1906">
      <w:pPr>
        <w:spacing w:after="240"/>
        <w:jc w:val="both"/>
        <w:rPr>
          <w:rFonts w:ascii="Arial" w:hAnsi="Arial" w:cs="Calibri"/>
          <w:sz w:val="22"/>
          <w:szCs w:val="22"/>
        </w:rPr>
      </w:pPr>
      <w:r w:rsidRPr="00B1387B">
        <w:rPr>
          <w:rFonts w:ascii="Arial" w:hAnsi="Arial" w:cs="Calibri"/>
          <w:sz w:val="22"/>
          <w:szCs w:val="22"/>
        </w:rPr>
        <w:t>Zgodnie z załącznikiem nr 2 do Wieloletniej P</w:t>
      </w:r>
      <w:r>
        <w:rPr>
          <w:rFonts w:ascii="Arial" w:hAnsi="Arial" w:cs="Calibri"/>
          <w:sz w:val="22"/>
          <w:szCs w:val="22"/>
        </w:rPr>
        <w:t>rognozy Finansowej Gminy Rogoźno na lata 2020-2037 na koniec I półrocza</w:t>
      </w:r>
      <w:r w:rsidRPr="00B1387B">
        <w:rPr>
          <w:rFonts w:ascii="Arial" w:hAnsi="Arial" w:cs="Calibri"/>
          <w:sz w:val="22"/>
          <w:szCs w:val="22"/>
        </w:rPr>
        <w:t xml:space="preserve"> roku</w:t>
      </w:r>
      <w:r>
        <w:rPr>
          <w:rFonts w:ascii="Arial" w:hAnsi="Arial" w:cs="Calibri"/>
          <w:sz w:val="22"/>
          <w:szCs w:val="22"/>
        </w:rPr>
        <w:t xml:space="preserve"> 2020,</w:t>
      </w:r>
      <w:r w:rsidRPr="00B1387B">
        <w:rPr>
          <w:rFonts w:ascii="Arial" w:hAnsi="Arial" w:cs="Calibri"/>
          <w:sz w:val="22"/>
          <w:szCs w:val="22"/>
        </w:rPr>
        <w:t xml:space="preserve"> </w:t>
      </w:r>
      <w:r>
        <w:rPr>
          <w:rFonts w:ascii="Arial" w:hAnsi="Arial" w:cs="Calibri"/>
          <w:sz w:val="22"/>
          <w:szCs w:val="22"/>
        </w:rPr>
        <w:t>Gmina Rogoźno</w:t>
      </w:r>
      <w:r w:rsidRPr="00EA0C0C">
        <w:rPr>
          <w:rFonts w:ascii="Arial" w:hAnsi="Arial" w:cs="Calibri"/>
          <w:sz w:val="22"/>
          <w:szCs w:val="22"/>
        </w:rPr>
        <w:t xml:space="preserve"> </w:t>
      </w:r>
      <w:r>
        <w:rPr>
          <w:rFonts w:ascii="Arial" w:hAnsi="Arial" w:cs="Calibri"/>
          <w:sz w:val="22"/>
          <w:szCs w:val="22"/>
        </w:rPr>
        <w:t>planowała</w:t>
      </w:r>
      <w:r w:rsidRPr="00B1387B">
        <w:rPr>
          <w:rFonts w:ascii="Arial" w:hAnsi="Arial" w:cs="Calibri"/>
          <w:sz w:val="22"/>
          <w:szCs w:val="22"/>
        </w:rPr>
        <w:t xml:space="preserve"> realizację następujących przedsięwzięć wieloletnich:</w:t>
      </w:r>
    </w:p>
    <w:p w:rsidR="00FB1906" w:rsidRDefault="00FB1906" w:rsidP="00FB1906">
      <w:pPr>
        <w:numPr>
          <w:ilvl w:val="0"/>
          <w:numId w:val="1"/>
        </w:numPr>
        <w:spacing w:after="120"/>
        <w:jc w:val="both"/>
        <w:rPr>
          <w:rFonts w:ascii="Arial" w:hAnsi="Arial" w:cs="Calibri"/>
          <w:sz w:val="22"/>
          <w:szCs w:val="22"/>
        </w:rPr>
      </w:pPr>
      <w:r w:rsidRPr="00FB1906">
        <w:rPr>
          <w:rFonts w:ascii="Arial" w:hAnsi="Arial" w:cs="Calibri"/>
          <w:sz w:val="22"/>
          <w:szCs w:val="22"/>
        </w:rPr>
        <w:t>Wykonanie ewidencji dróg gminnych - spełnienie zapisu ustawy o drogach publicznych - zadanie własne gminy</w:t>
      </w:r>
    </w:p>
    <w:p w:rsidR="00FB1906" w:rsidRDefault="00FB1906" w:rsidP="00FB1906">
      <w:pPr>
        <w:numPr>
          <w:ilvl w:val="0"/>
          <w:numId w:val="1"/>
        </w:numPr>
        <w:spacing w:after="120"/>
        <w:jc w:val="both"/>
        <w:rPr>
          <w:rFonts w:ascii="Arial" w:hAnsi="Arial" w:cs="Calibri"/>
          <w:sz w:val="22"/>
          <w:szCs w:val="22"/>
        </w:rPr>
      </w:pPr>
      <w:r w:rsidRPr="00FB1906">
        <w:rPr>
          <w:rFonts w:ascii="Arial" w:hAnsi="Arial" w:cs="Calibri"/>
          <w:sz w:val="22"/>
          <w:szCs w:val="22"/>
        </w:rPr>
        <w:t>Wzmocnienie wojewódzkich kolejowych przewozów - Wzmocnienie wojewódzkich kolejowych przewozów</w:t>
      </w:r>
    </w:p>
    <w:p w:rsidR="00FB1906" w:rsidRDefault="00FB1906" w:rsidP="00FB1906">
      <w:pPr>
        <w:numPr>
          <w:ilvl w:val="0"/>
          <w:numId w:val="1"/>
        </w:numPr>
        <w:spacing w:after="120"/>
        <w:jc w:val="both"/>
        <w:rPr>
          <w:rFonts w:ascii="Arial" w:hAnsi="Arial" w:cs="Calibri"/>
          <w:sz w:val="22"/>
          <w:szCs w:val="22"/>
        </w:rPr>
      </w:pPr>
      <w:r w:rsidRPr="00FB1906">
        <w:rPr>
          <w:rFonts w:ascii="Arial" w:hAnsi="Arial" w:cs="Calibri"/>
          <w:sz w:val="22"/>
          <w:szCs w:val="22"/>
        </w:rPr>
        <w:t>Budowa ulicy Długiej i Seminarialnej w Rogoźnie - poprawa bezpieczeństwa i życia mieszkańców</w:t>
      </w:r>
    </w:p>
    <w:p w:rsidR="00FB1906" w:rsidRDefault="00FB1906" w:rsidP="00FB1906">
      <w:pPr>
        <w:numPr>
          <w:ilvl w:val="0"/>
          <w:numId w:val="1"/>
        </w:numPr>
        <w:spacing w:after="120"/>
        <w:jc w:val="both"/>
        <w:rPr>
          <w:rFonts w:ascii="Arial" w:hAnsi="Arial" w:cs="Calibri"/>
          <w:sz w:val="22"/>
          <w:szCs w:val="22"/>
        </w:rPr>
      </w:pPr>
      <w:r w:rsidRPr="00FB1906">
        <w:rPr>
          <w:rFonts w:ascii="Arial" w:hAnsi="Arial" w:cs="Calibri"/>
          <w:sz w:val="22"/>
          <w:szCs w:val="22"/>
        </w:rPr>
        <w:t>Zakup nieruchomości gruntowej od SM w Obornikach - realizacja zadań własnych gminy</w:t>
      </w:r>
    </w:p>
    <w:p w:rsidR="00FB1906" w:rsidRDefault="00FB1906" w:rsidP="00FB1906">
      <w:pPr>
        <w:spacing w:after="240"/>
        <w:jc w:val="both"/>
        <w:rPr>
          <w:rFonts w:ascii="Arial" w:hAnsi="Arial" w:cs="Calibri"/>
          <w:sz w:val="22"/>
          <w:szCs w:val="22"/>
        </w:rPr>
      </w:pPr>
      <w:r w:rsidRPr="005350B3">
        <w:rPr>
          <w:rFonts w:ascii="Arial" w:hAnsi="Arial" w:cs="Calibri"/>
          <w:sz w:val="22"/>
          <w:szCs w:val="22"/>
        </w:rPr>
        <w:t>Stopień zaawansowania realizacji programów wieloletnich obrazuje załącznik nr 2 do informacji półrocznej o kształtowaniu się Wieloletniej Prognozy Finansow</w:t>
      </w:r>
      <w:r>
        <w:rPr>
          <w:rFonts w:ascii="Arial" w:hAnsi="Arial" w:cs="Calibri"/>
          <w:sz w:val="22"/>
          <w:szCs w:val="22"/>
        </w:rPr>
        <w:t>ej Gminy Rogoźno</w:t>
      </w:r>
      <w:r w:rsidRPr="00752D54">
        <w:rPr>
          <w:rFonts w:ascii="Arial" w:hAnsi="Arial" w:cs="Calibri"/>
          <w:sz w:val="22"/>
          <w:szCs w:val="22"/>
        </w:rPr>
        <w:t xml:space="preserve"> na lata 2020-2032</w:t>
      </w:r>
    </w:p>
    <w:p w:rsidR="00FB1906" w:rsidRDefault="00FB1906" w:rsidP="00FB1906">
      <w:pPr>
        <w:spacing w:after="240"/>
        <w:jc w:val="both"/>
        <w:rPr>
          <w:rFonts w:ascii="Arial" w:hAnsi="Arial" w:cs="Calibri"/>
          <w:sz w:val="22"/>
          <w:szCs w:val="22"/>
        </w:rPr>
      </w:pPr>
    </w:p>
    <w:p w:rsidR="00FB1906" w:rsidRDefault="00FB1906" w:rsidP="00FB1906">
      <w:pPr>
        <w:spacing w:after="240"/>
        <w:jc w:val="both"/>
        <w:rPr>
          <w:rFonts w:ascii="Arial" w:hAnsi="Arial" w:cs="Calibri"/>
          <w:sz w:val="22"/>
          <w:szCs w:val="22"/>
        </w:rPr>
        <w:sectPr w:rsidR="00FB1906">
          <w:pgSz w:w="12240" w:h="15840"/>
          <w:pgMar w:top="1417" w:right="1417" w:bottom="1417" w:left="1417" w:header="708" w:footer="708" w:gutter="0"/>
          <w:cols w:space="708"/>
          <w:noEndnote/>
        </w:sectPr>
      </w:pPr>
    </w:p>
    <w:tbl>
      <w:tblPr>
        <w:tblW w:w="12469" w:type="dxa"/>
        <w:tblInd w:w="75" w:type="dxa"/>
        <w:tblCellMar>
          <w:left w:w="70" w:type="dxa"/>
          <w:right w:w="70" w:type="dxa"/>
        </w:tblCellMar>
        <w:tblLook w:val="04A0" w:firstRow="1" w:lastRow="0" w:firstColumn="1" w:lastColumn="0" w:noHBand="0" w:noVBand="1"/>
      </w:tblPr>
      <w:tblGrid>
        <w:gridCol w:w="852"/>
        <w:gridCol w:w="4105"/>
        <w:gridCol w:w="1701"/>
        <w:gridCol w:w="1417"/>
        <w:gridCol w:w="1276"/>
        <w:gridCol w:w="1417"/>
        <w:gridCol w:w="1701"/>
      </w:tblGrid>
      <w:tr w:rsidR="00FB1906" w:rsidRPr="00FB1906" w:rsidTr="0001560B">
        <w:trPr>
          <w:trHeight w:val="283"/>
          <w:tblHeader/>
        </w:trPr>
        <w:tc>
          <w:tcPr>
            <w:tcW w:w="85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lastRenderedPageBreak/>
              <w:t>Lp.</w:t>
            </w:r>
          </w:p>
        </w:tc>
        <w:tc>
          <w:tcPr>
            <w:tcW w:w="4105" w:type="dxa"/>
            <w:tcBorders>
              <w:top w:val="single" w:sz="4" w:space="0" w:color="auto"/>
              <w:left w:val="nil"/>
              <w:bottom w:val="single" w:sz="4" w:space="0" w:color="auto"/>
              <w:right w:val="single" w:sz="4" w:space="0" w:color="auto"/>
            </w:tcBorders>
            <w:shd w:val="clear" w:color="000000" w:fill="C0C0C0"/>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Wyszczególnienie</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Plan 2020 – UCHWAŁA WPF</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Plan 2020 – ZMIANA WPF PÓŁROCZE</w:t>
            </w:r>
          </w:p>
        </w:tc>
        <w:tc>
          <w:tcPr>
            <w:tcW w:w="1276" w:type="dxa"/>
            <w:tcBorders>
              <w:top w:val="single" w:sz="4" w:space="0" w:color="auto"/>
              <w:left w:val="nil"/>
              <w:bottom w:val="single" w:sz="4" w:space="0" w:color="auto"/>
              <w:right w:val="single" w:sz="4" w:space="0" w:color="auto"/>
            </w:tcBorders>
            <w:shd w:val="clear" w:color="000000" w:fill="C0C0C0"/>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Plan 2020 – Stan na 30.06</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Wykonanie I półrocze 2020</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Wykonanie planu (względem zmiany)</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Dochody ogółem</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84 881 519,41</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87 229 018,01</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87 313 857,18</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46 309 657,27</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53,04%</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Dochody bieżące, z tego:</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83 171 519,41</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85 317 860,51</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85 402 699,68</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44 760 333,14</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52,41%</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1.1.1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dochody z tytułu udziału we wpływach z podatku dochodowego od osób fizycznych</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14 157 320,00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14 157 320,00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14 157 320,00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6 054 908,00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42,77%</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1.1.2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dochody z tytułu udziału we wpływach z podatku dochodowego od osób prawnych</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1 200 000,00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1 200 000,00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1 200 000,00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562 098,23</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46,84%</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1.1.3</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z subwencji ogólnej</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20 182 383,00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20 182 383,00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20 182 383,00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11 803 452,00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58,48%</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1.1.4</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z tytułu dotacji i środków przeznaczonych na cele bieżące</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27 930 413,00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30 064 911,74</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30 149 750,91</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17 523 532,87</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58,12%</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1.1.5</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pozostałe dochody bieżące, w tym:</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19 701 403,41</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19 713 245,77</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19 713 245,77</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8 816 342,04</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44,72%</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1.1.5.1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z podatku od nieruchomości</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10 032 890,00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10 032 890,00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10 032 890,00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4 742 987,99</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47,27%</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Dochody majątkowe, w tym:</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1 710 000,00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1 911 157,50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1 911 157,50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1 549 324,13</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81,07%</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1.2.1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ze sprzedaży majątku</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1 660 000,00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1 660 000,00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1 660 000,00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1 289 741,78</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77,70%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1.2.2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z tytułu dotacji oraz środków przeznaczonych na inwestycje</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201 157,50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201 157,50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201 157,50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Wydatki ogółem</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86 574 669,41</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92 030 427,54</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92 115 266,71</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45 263 452,40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49,14%</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2.1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Wydatki bieżące, w tym:</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82 496 098,29</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84 781 333,89</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84 866 173,06</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43 327 056,08</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51,05%</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2.1.1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na wynagrodzenia i składki od nich naliczane</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29 113 739,67</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29 250 734,28</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29 252 234,28</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15 302 802,79</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52,31%</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2.1.2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z tytułu poręczeń i gwarancji, w tym:</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2.1.2.1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gwarancje i poręczenia podlegające wyłączeniu z limitu spłaty zobowiązań, o którym mowa w art. 243 ustawy</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2.1.3</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wydatki na obsługę długu, w tym:</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376 000,00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376 000,00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376 000,00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149 351,80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39,72%</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2.1.3.1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2.1.3.2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odsetki i dyskonto podlegające wyłączeniu z limitu spłaty zobowiązań, o którym mowa w art. 243 ustawy, z tytułu zobowiązań zaciągniętych na wkład krajowy</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2.2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Wydatki majątkowe, w tym:</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4 078 571,12</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7 249 093,65</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7 249 093,65</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1 936 396,32</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26,71%</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2.2.1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Inwestycje i zakupy inwestycyjne, o których mowa w art. 236 ust. 4 pkt 1 ustawy, w tym:</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4 078 571,12</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7 249 093,65</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7 249 093,65</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1 936 396,32</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26,71%</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2.2.1.1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wydatki o charakterze dotacyjnym na inwestycje i zakupy inwestycyjne</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1 010 000,00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1 288 000,00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1 288 000,00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78 000,00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6,06%</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3</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Wynik budżetu</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-1 693 150,00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-4 801 409,53</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-4 801 409,53</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1 046 204,87</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 </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3.1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xml:space="preserve">Kwota prognozowanej nadwyżki budżetu przeznaczana na spłatę kredytów, pożyczek i wykup papierów </w:t>
            </w:r>
            <w:r w:rsidRPr="00FB1906">
              <w:rPr>
                <w:rFonts w:ascii="Arial" w:hAnsi="Arial" w:cs="Arial"/>
                <w:sz w:val="16"/>
                <w:szCs w:val="16"/>
              </w:rPr>
              <w:lastRenderedPageBreak/>
              <w:t>wartościowych</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lastRenderedPageBreak/>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250 000,00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lastRenderedPageBreak/>
              <w:t>4</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Przychody budżetu</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3 609 950,00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6 718 209,53</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6 718 209,53</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4 057 050,16</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60,39%</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4.1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Kredyty, pożyczki, emisja papierów wartościowych, w tym:</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3 609 950,00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3 609 950,00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3 609 950,00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4.1.1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na pokrycie deficytu budżetu</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1 693 150,00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1 693 150,00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1 693 150,00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4.2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Nadwyżka budżetowa z lat ubiegłych, w tym:</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4.2.1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na pokrycie deficytu budżetu</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4.3</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Wolne środki, o których mowa w art. 217 ust. 2 pkt 6 ustawy, w tym:</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3 108 259,53</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3 108 259,53</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4 057 050,16</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130,52%</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4.3.1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na pokrycie deficytu budżetu</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3 108 259,53</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3 108 259,53</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4.4</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Spłaty udzielonych pożyczek w latach ubiegłych, w tym:</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4.4.1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na pokrycie deficytu budżetu</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4.5</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Inne przychody niezwiązane z zaciągnięciem długu, w tym:</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4.5.1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na pokrycie deficytu budżetu</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5</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Rozchody budżetu</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1 916 800,00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1 916 800,00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1 916 800,00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250 000,00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13,04%</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5.1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Spłaty rat kapitałowych kredytów i pożyczek oraz wykup papierów wartościowych, w tym:</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1 916 800,00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1 916 800,00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1 916 800,00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250 000,00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13,04%</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5.1.1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xml:space="preserve">łączna kwota przypadających na dany rok kwot ustawowych </w:t>
            </w:r>
            <w:proofErr w:type="spellStart"/>
            <w:r w:rsidRPr="00FB1906">
              <w:rPr>
                <w:rFonts w:ascii="Arial" w:hAnsi="Arial" w:cs="Arial"/>
                <w:sz w:val="16"/>
                <w:szCs w:val="16"/>
              </w:rPr>
              <w:t>wyłączeń</w:t>
            </w:r>
            <w:proofErr w:type="spellEnd"/>
            <w:r w:rsidRPr="00FB1906">
              <w:rPr>
                <w:rFonts w:ascii="Arial" w:hAnsi="Arial" w:cs="Arial"/>
                <w:sz w:val="16"/>
                <w:szCs w:val="16"/>
              </w:rPr>
              <w:t xml:space="preserve"> z limitu spłaty zobowiązań, w tym:</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5.1.1.1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xml:space="preserve">kwota przypadających na dany rok kwot </w:t>
            </w:r>
            <w:proofErr w:type="spellStart"/>
            <w:r w:rsidRPr="00FB1906">
              <w:rPr>
                <w:rFonts w:ascii="Arial" w:hAnsi="Arial" w:cs="Arial"/>
                <w:sz w:val="16"/>
                <w:szCs w:val="16"/>
              </w:rPr>
              <w:t>wyłączeń</w:t>
            </w:r>
            <w:proofErr w:type="spellEnd"/>
            <w:r w:rsidRPr="00FB1906">
              <w:rPr>
                <w:rFonts w:ascii="Arial" w:hAnsi="Arial" w:cs="Arial"/>
                <w:sz w:val="16"/>
                <w:szCs w:val="16"/>
              </w:rPr>
              <w:t xml:space="preserve"> określonych w art. 243 ust. 3 ustawy</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5.1.1.2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xml:space="preserve">kwota przypadających na dany rok kwot </w:t>
            </w:r>
            <w:proofErr w:type="spellStart"/>
            <w:r w:rsidRPr="00FB1906">
              <w:rPr>
                <w:rFonts w:ascii="Arial" w:hAnsi="Arial" w:cs="Arial"/>
                <w:sz w:val="16"/>
                <w:szCs w:val="16"/>
              </w:rPr>
              <w:t>wyłączeń</w:t>
            </w:r>
            <w:proofErr w:type="spellEnd"/>
            <w:r w:rsidRPr="00FB1906">
              <w:rPr>
                <w:rFonts w:ascii="Arial" w:hAnsi="Arial" w:cs="Arial"/>
                <w:sz w:val="16"/>
                <w:szCs w:val="16"/>
              </w:rPr>
              <w:t xml:space="preserve"> określonych w art. 243 ust. 3a ustawy</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5.1.1.3</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xml:space="preserve">kwota </w:t>
            </w:r>
            <w:proofErr w:type="spellStart"/>
            <w:r w:rsidRPr="00FB1906">
              <w:rPr>
                <w:rFonts w:ascii="Arial" w:hAnsi="Arial" w:cs="Arial"/>
                <w:sz w:val="16"/>
                <w:szCs w:val="16"/>
              </w:rPr>
              <w:t>wyłączeń</w:t>
            </w:r>
            <w:proofErr w:type="spellEnd"/>
            <w:r w:rsidRPr="00FB1906">
              <w:rPr>
                <w:rFonts w:ascii="Arial" w:hAnsi="Arial" w:cs="Arial"/>
                <w:sz w:val="16"/>
                <w:szCs w:val="16"/>
              </w:rPr>
              <w:t xml:space="preserve"> z tytułu wcześniejszej spłaty zobowiązań, określonych w art. 243 ust. 3b ustawy, z tego:</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5.1.1.3.1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środkami nowego zobowiązania</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5.1.1.3.2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wolnymi środkami, o których mowa w art. 217 ust. 2 pkt 6 ustawy</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5.1.1.3.3</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innymi środkami</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5.2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Inne rozchody, niezwiązane ze spłatą długu</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6</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Kwota długu, w tym:</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23 470 421,35</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20 870 421,35</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20 870 421,35</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19 047 664,43</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91,27%</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6.1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kwota długu, którego planowana spłata dokona się z wydatków</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120 393,08</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7</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Relacja zrównoważenia wydatków bieżących, o której mowa w art. 242 ustawy</w:t>
            </w:r>
          </w:p>
        </w:tc>
        <w:tc>
          <w:tcPr>
            <w:tcW w:w="7512" w:type="dxa"/>
            <w:gridSpan w:val="5"/>
            <w:tcBorders>
              <w:top w:val="single" w:sz="4" w:space="0" w:color="auto"/>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 </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7.1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Różnica między dochodami bieżącymi a wydatkami bieżącymi</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675 421,12</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536 526,62</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536 526,62</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1 433 277,06</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267,14%</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lastRenderedPageBreak/>
              <w:t>7.2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Różnica między dochodami bieżącymi, skorygowanymi o środki, a wydatkami bieżącymi</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675 421,12</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3 644 786,15</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3 644 786,15</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5 490 327,22</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150,64%</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8</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Wskaźnik spłaty zobowiązań</w:t>
            </w:r>
          </w:p>
        </w:tc>
        <w:tc>
          <w:tcPr>
            <w:tcW w:w="7512" w:type="dxa"/>
            <w:gridSpan w:val="5"/>
            <w:tcBorders>
              <w:top w:val="single" w:sz="4" w:space="0" w:color="auto"/>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 </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8.1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xml:space="preserve">Relacja określona po lewej stronie nierówności we wzorze, o którym mowa w art. 243 ust. 1 ustawy (po uwzględnieniu zobowiązań związku współtworzonego przez jednostkę samorządu terytorialnego oraz po uwzględnieniu ustawowych </w:t>
            </w:r>
            <w:proofErr w:type="spellStart"/>
            <w:r w:rsidRPr="00FB1906">
              <w:rPr>
                <w:rFonts w:ascii="Arial" w:hAnsi="Arial" w:cs="Arial"/>
                <w:sz w:val="16"/>
                <w:szCs w:val="16"/>
              </w:rPr>
              <w:t>wyłączeń</w:t>
            </w:r>
            <w:proofErr w:type="spellEnd"/>
            <w:r w:rsidRPr="00FB1906">
              <w:rPr>
                <w:rFonts w:ascii="Arial" w:hAnsi="Arial" w:cs="Arial"/>
                <w:sz w:val="16"/>
                <w:szCs w:val="16"/>
              </w:rPr>
              <w:t xml:space="preserve"> przypadających na dany rok)</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4,15%</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4,15%</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4,15%</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1,47%</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8.2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Relacja określona po prawej stronie nierówności we wzorze, o którym mowa w art. 243 ust. 1 ustawy, ustalona dla danego roku (</w:t>
            </w:r>
            <w:proofErr w:type="spellStart"/>
            <w:r w:rsidRPr="00FB1906">
              <w:rPr>
                <w:rFonts w:ascii="Arial" w:hAnsi="Arial" w:cs="Arial"/>
                <w:sz w:val="16"/>
                <w:szCs w:val="16"/>
              </w:rPr>
              <w:t>wkaźnik</w:t>
            </w:r>
            <w:proofErr w:type="spellEnd"/>
            <w:r w:rsidRPr="00FB1906">
              <w:rPr>
                <w:rFonts w:ascii="Arial" w:hAnsi="Arial" w:cs="Arial"/>
                <w:sz w:val="16"/>
                <w:szCs w:val="16"/>
              </w:rPr>
              <w:t xml:space="preserve"> jednoroczny)</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1,90%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1,65%</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1,65%</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5,14%</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8.3</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xml:space="preserve">Dopuszczalny limit spłaty zobowiązań określony po prawej stronie nierówności we wzorze, o którym mowa w art. 243 ustawy, po uwzględnieniu ustawowych </w:t>
            </w:r>
            <w:proofErr w:type="spellStart"/>
            <w:r w:rsidRPr="00FB1906">
              <w:rPr>
                <w:rFonts w:ascii="Arial" w:hAnsi="Arial" w:cs="Arial"/>
                <w:sz w:val="16"/>
                <w:szCs w:val="16"/>
              </w:rPr>
              <w:t>wyłączeń</w:t>
            </w:r>
            <w:proofErr w:type="spellEnd"/>
            <w:r w:rsidRPr="00FB1906">
              <w:rPr>
                <w:rFonts w:ascii="Arial" w:hAnsi="Arial" w:cs="Arial"/>
                <w:sz w:val="16"/>
                <w:szCs w:val="16"/>
              </w:rPr>
              <w:t>, obliczony w oparciu o plan 3. kwartału roku poprzedzającego pierwszy rok prognozy (wskaźnik ustalony w oparciu o średnią arytmetyczną z poprzednich lat)</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7,73%</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8,39%</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8,39%</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8,39%</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8.3.1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xml:space="preserve">Dopuszczalny limit spłaty zobowiązań określony po prawej stronie nierówności we wzorze, o którym mowa w art. 243 ustawy, po uwzględnieniu ustawowych </w:t>
            </w:r>
            <w:proofErr w:type="spellStart"/>
            <w:r w:rsidRPr="00FB1906">
              <w:rPr>
                <w:rFonts w:ascii="Arial" w:hAnsi="Arial" w:cs="Arial"/>
                <w:sz w:val="16"/>
                <w:szCs w:val="16"/>
              </w:rPr>
              <w:t>wyłączeń</w:t>
            </w:r>
            <w:proofErr w:type="spellEnd"/>
            <w:r w:rsidRPr="00FB1906">
              <w:rPr>
                <w:rFonts w:ascii="Arial" w:hAnsi="Arial" w:cs="Arial"/>
                <w:sz w:val="16"/>
                <w:szCs w:val="16"/>
              </w:rPr>
              <w:t>, obliczony w oparciu o wykonanie roku poprzedzającego pierwszy rok prognozy (wskaźnik ustalony w oparciu o średnią arytmetyczną z poprzednich lat)</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7,73%</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9,36%</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9,36%</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9,36%</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8.4</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FB1906">
              <w:rPr>
                <w:rFonts w:ascii="Arial" w:hAnsi="Arial" w:cs="Arial"/>
                <w:b/>
                <w:bCs/>
                <w:sz w:val="16"/>
                <w:szCs w:val="16"/>
              </w:rPr>
              <w:t>wyłączeń</w:t>
            </w:r>
            <w:proofErr w:type="spellEnd"/>
            <w:r w:rsidRPr="00FB1906">
              <w:rPr>
                <w:rFonts w:ascii="Arial" w:hAnsi="Arial" w:cs="Arial"/>
                <w:b/>
                <w:bCs/>
                <w:sz w:val="16"/>
                <w:szCs w:val="16"/>
              </w:rPr>
              <w:t>, obliczonego w oparciu o plan 3 kwartałów roku poprzedzającego rok budżetowy</w:t>
            </w:r>
          </w:p>
        </w:tc>
        <w:tc>
          <w:tcPr>
            <w:tcW w:w="1701" w:type="dxa"/>
            <w:tcBorders>
              <w:top w:val="nil"/>
              <w:left w:val="nil"/>
              <w:bottom w:val="single" w:sz="4" w:space="0" w:color="auto"/>
              <w:right w:val="single" w:sz="4" w:space="0" w:color="auto"/>
            </w:tcBorders>
            <w:shd w:val="clear" w:color="000000" w:fill="ADFF2F"/>
            <w:noWrap/>
            <w:vAlign w:val="center"/>
            <w:hideMark/>
          </w:tcPr>
          <w:p w:rsidR="00FB1906" w:rsidRPr="00FB1906" w:rsidRDefault="00FB1906" w:rsidP="00B5193E">
            <w:pPr>
              <w:widowControl/>
              <w:autoSpaceDE/>
              <w:autoSpaceDN/>
              <w:adjustRightInd/>
              <w:jc w:val="center"/>
              <w:rPr>
                <w:rFonts w:ascii="Arial" w:hAnsi="Arial" w:cs="Arial"/>
                <w:b/>
                <w:bCs/>
                <w:sz w:val="16"/>
                <w:szCs w:val="16"/>
              </w:rPr>
            </w:pPr>
            <w:r w:rsidRPr="00FB1906">
              <w:rPr>
                <w:rFonts w:ascii="Arial" w:hAnsi="Arial" w:cs="Arial"/>
                <w:b/>
                <w:bCs/>
                <w:sz w:val="16"/>
                <w:szCs w:val="16"/>
              </w:rPr>
              <w:t>Tak</w:t>
            </w:r>
          </w:p>
        </w:tc>
        <w:tc>
          <w:tcPr>
            <w:tcW w:w="1417" w:type="dxa"/>
            <w:tcBorders>
              <w:top w:val="nil"/>
              <w:left w:val="nil"/>
              <w:bottom w:val="single" w:sz="4" w:space="0" w:color="auto"/>
              <w:right w:val="single" w:sz="4" w:space="0" w:color="auto"/>
            </w:tcBorders>
            <w:shd w:val="clear" w:color="000000" w:fill="ADFF2F"/>
            <w:noWrap/>
            <w:vAlign w:val="center"/>
            <w:hideMark/>
          </w:tcPr>
          <w:p w:rsidR="00FB1906" w:rsidRPr="00FB1906" w:rsidRDefault="00FB1906" w:rsidP="00B5193E">
            <w:pPr>
              <w:widowControl/>
              <w:autoSpaceDE/>
              <w:autoSpaceDN/>
              <w:adjustRightInd/>
              <w:jc w:val="center"/>
              <w:rPr>
                <w:rFonts w:ascii="Arial" w:hAnsi="Arial" w:cs="Arial"/>
                <w:b/>
                <w:bCs/>
                <w:sz w:val="16"/>
                <w:szCs w:val="16"/>
              </w:rPr>
            </w:pPr>
            <w:r w:rsidRPr="00FB1906">
              <w:rPr>
                <w:rFonts w:ascii="Arial" w:hAnsi="Arial" w:cs="Arial"/>
                <w:b/>
                <w:bCs/>
                <w:sz w:val="16"/>
                <w:szCs w:val="16"/>
              </w:rPr>
              <w:t>Tak</w:t>
            </w:r>
          </w:p>
        </w:tc>
        <w:tc>
          <w:tcPr>
            <w:tcW w:w="1276" w:type="dxa"/>
            <w:tcBorders>
              <w:top w:val="nil"/>
              <w:left w:val="nil"/>
              <w:bottom w:val="single" w:sz="4" w:space="0" w:color="auto"/>
              <w:right w:val="single" w:sz="4" w:space="0" w:color="auto"/>
            </w:tcBorders>
            <w:shd w:val="clear" w:color="000000" w:fill="ADFF2F"/>
            <w:noWrap/>
            <w:vAlign w:val="center"/>
            <w:hideMark/>
          </w:tcPr>
          <w:p w:rsidR="00FB1906" w:rsidRPr="00FB1906" w:rsidRDefault="00FB1906" w:rsidP="00B5193E">
            <w:pPr>
              <w:widowControl/>
              <w:autoSpaceDE/>
              <w:autoSpaceDN/>
              <w:adjustRightInd/>
              <w:jc w:val="center"/>
              <w:rPr>
                <w:rFonts w:ascii="Arial" w:hAnsi="Arial" w:cs="Arial"/>
                <w:b/>
                <w:bCs/>
                <w:sz w:val="16"/>
                <w:szCs w:val="16"/>
              </w:rPr>
            </w:pPr>
            <w:r w:rsidRPr="00FB1906">
              <w:rPr>
                <w:rFonts w:ascii="Arial" w:hAnsi="Arial" w:cs="Arial"/>
                <w:b/>
                <w:bCs/>
                <w:sz w:val="16"/>
                <w:szCs w:val="16"/>
              </w:rPr>
              <w:t>Tak</w:t>
            </w:r>
          </w:p>
        </w:tc>
        <w:tc>
          <w:tcPr>
            <w:tcW w:w="1417" w:type="dxa"/>
            <w:tcBorders>
              <w:top w:val="nil"/>
              <w:left w:val="nil"/>
              <w:bottom w:val="single" w:sz="4" w:space="0" w:color="auto"/>
              <w:right w:val="single" w:sz="4" w:space="0" w:color="auto"/>
            </w:tcBorders>
            <w:shd w:val="clear" w:color="000000" w:fill="ADFF2F"/>
            <w:noWrap/>
            <w:vAlign w:val="center"/>
            <w:hideMark/>
          </w:tcPr>
          <w:p w:rsidR="00FB1906" w:rsidRPr="00FB1906" w:rsidRDefault="00FB1906" w:rsidP="00B5193E">
            <w:pPr>
              <w:widowControl/>
              <w:autoSpaceDE/>
              <w:autoSpaceDN/>
              <w:adjustRightInd/>
              <w:jc w:val="center"/>
              <w:rPr>
                <w:rFonts w:ascii="Arial" w:hAnsi="Arial" w:cs="Arial"/>
                <w:b/>
                <w:bCs/>
                <w:sz w:val="16"/>
                <w:szCs w:val="16"/>
              </w:rPr>
            </w:pPr>
            <w:r w:rsidRPr="00FB1906">
              <w:rPr>
                <w:rFonts w:ascii="Arial" w:hAnsi="Arial" w:cs="Arial"/>
                <w:b/>
                <w:bCs/>
                <w:sz w:val="16"/>
                <w:szCs w:val="16"/>
              </w:rPr>
              <w:t>Tak</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 </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8.4.1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FB1906">
              <w:rPr>
                <w:rFonts w:ascii="Arial" w:hAnsi="Arial" w:cs="Arial"/>
                <w:sz w:val="16"/>
                <w:szCs w:val="16"/>
              </w:rPr>
              <w:t>wyłączeń</w:t>
            </w:r>
            <w:proofErr w:type="spellEnd"/>
            <w:r w:rsidRPr="00FB1906">
              <w:rPr>
                <w:rFonts w:ascii="Arial" w:hAnsi="Arial" w:cs="Arial"/>
                <w:sz w:val="16"/>
                <w:szCs w:val="16"/>
              </w:rPr>
              <w:t>, obliczonego w oparciu o wykonanie roku poprzedzającego rok budżetowy</w:t>
            </w:r>
          </w:p>
        </w:tc>
        <w:tc>
          <w:tcPr>
            <w:tcW w:w="1701" w:type="dxa"/>
            <w:tcBorders>
              <w:top w:val="nil"/>
              <w:left w:val="nil"/>
              <w:bottom w:val="single" w:sz="4" w:space="0" w:color="auto"/>
              <w:right w:val="single" w:sz="4" w:space="0" w:color="auto"/>
            </w:tcBorders>
            <w:shd w:val="clear" w:color="000000" w:fill="ADFF2F"/>
            <w:noWrap/>
            <w:vAlign w:val="center"/>
            <w:hideMark/>
          </w:tcPr>
          <w:p w:rsidR="00FB1906" w:rsidRPr="00FB1906" w:rsidRDefault="00FB1906" w:rsidP="00B5193E">
            <w:pPr>
              <w:widowControl/>
              <w:autoSpaceDE/>
              <w:autoSpaceDN/>
              <w:adjustRightInd/>
              <w:jc w:val="center"/>
              <w:rPr>
                <w:rFonts w:ascii="Arial" w:hAnsi="Arial" w:cs="Arial"/>
                <w:sz w:val="16"/>
                <w:szCs w:val="16"/>
              </w:rPr>
            </w:pPr>
            <w:r w:rsidRPr="00FB1906">
              <w:rPr>
                <w:rFonts w:ascii="Arial" w:hAnsi="Arial" w:cs="Arial"/>
                <w:sz w:val="16"/>
                <w:szCs w:val="16"/>
              </w:rPr>
              <w:t>Tak</w:t>
            </w:r>
          </w:p>
        </w:tc>
        <w:tc>
          <w:tcPr>
            <w:tcW w:w="1417" w:type="dxa"/>
            <w:tcBorders>
              <w:top w:val="nil"/>
              <w:left w:val="nil"/>
              <w:bottom w:val="single" w:sz="4" w:space="0" w:color="auto"/>
              <w:right w:val="single" w:sz="4" w:space="0" w:color="auto"/>
            </w:tcBorders>
            <w:shd w:val="clear" w:color="000000" w:fill="ADFF2F"/>
            <w:noWrap/>
            <w:vAlign w:val="center"/>
            <w:hideMark/>
          </w:tcPr>
          <w:p w:rsidR="00FB1906" w:rsidRPr="00FB1906" w:rsidRDefault="00FB1906" w:rsidP="00B5193E">
            <w:pPr>
              <w:widowControl/>
              <w:autoSpaceDE/>
              <w:autoSpaceDN/>
              <w:adjustRightInd/>
              <w:jc w:val="center"/>
              <w:rPr>
                <w:rFonts w:ascii="Arial" w:hAnsi="Arial" w:cs="Arial"/>
                <w:sz w:val="16"/>
                <w:szCs w:val="16"/>
              </w:rPr>
            </w:pPr>
            <w:r w:rsidRPr="00FB1906">
              <w:rPr>
                <w:rFonts w:ascii="Arial" w:hAnsi="Arial" w:cs="Arial"/>
                <w:sz w:val="16"/>
                <w:szCs w:val="16"/>
              </w:rPr>
              <w:t>Tak</w:t>
            </w:r>
          </w:p>
        </w:tc>
        <w:tc>
          <w:tcPr>
            <w:tcW w:w="1276" w:type="dxa"/>
            <w:tcBorders>
              <w:top w:val="nil"/>
              <w:left w:val="nil"/>
              <w:bottom w:val="single" w:sz="4" w:space="0" w:color="auto"/>
              <w:right w:val="single" w:sz="4" w:space="0" w:color="auto"/>
            </w:tcBorders>
            <w:shd w:val="clear" w:color="000000" w:fill="ADFF2F"/>
            <w:noWrap/>
            <w:vAlign w:val="center"/>
            <w:hideMark/>
          </w:tcPr>
          <w:p w:rsidR="00FB1906" w:rsidRPr="00FB1906" w:rsidRDefault="00FB1906" w:rsidP="00B5193E">
            <w:pPr>
              <w:widowControl/>
              <w:autoSpaceDE/>
              <w:autoSpaceDN/>
              <w:adjustRightInd/>
              <w:jc w:val="center"/>
              <w:rPr>
                <w:rFonts w:ascii="Arial" w:hAnsi="Arial" w:cs="Arial"/>
                <w:sz w:val="16"/>
                <w:szCs w:val="16"/>
              </w:rPr>
            </w:pPr>
            <w:r w:rsidRPr="00FB1906">
              <w:rPr>
                <w:rFonts w:ascii="Arial" w:hAnsi="Arial" w:cs="Arial"/>
                <w:sz w:val="16"/>
                <w:szCs w:val="16"/>
              </w:rPr>
              <w:t>Tak</w:t>
            </w:r>
          </w:p>
        </w:tc>
        <w:tc>
          <w:tcPr>
            <w:tcW w:w="1417" w:type="dxa"/>
            <w:tcBorders>
              <w:top w:val="nil"/>
              <w:left w:val="nil"/>
              <w:bottom w:val="single" w:sz="4" w:space="0" w:color="auto"/>
              <w:right w:val="single" w:sz="4" w:space="0" w:color="auto"/>
            </w:tcBorders>
            <w:shd w:val="clear" w:color="000000" w:fill="ADFF2F"/>
            <w:noWrap/>
            <w:vAlign w:val="center"/>
            <w:hideMark/>
          </w:tcPr>
          <w:p w:rsidR="00FB1906" w:rsidRPr="00FB1906" w:rsidRDefault="00FB1906" w:rsidP="00B5193E">
            <w:pPr>
              <w:widowControl/>
              <w:autoSpaceDE/>
              <w:autoSpaceDN/>
              <w:adjustRightInd/>
              <w:jc w:val="center"/>
              <w:rPr>
                <w:rFonts w:ascii="Arial" w:hAnsi="Arial" w:cs="Arial"/>
                <w:sz w:val="16"/>
                <w:szCs w:val="16"/>
              </w:rPr>
            </w:pPr>
            <w:r w:rsidRPr="00FB1906">
              <w:rPr>
                <w:rFonts w:ascii="Arial" w:hAnsi="Arial" w:cs="Arial"/>
                <w:sz w:val="16"/>
                <w:szCs w:val="16"/>
              </w:rPr>
              <w:t>Tak</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9</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Finansowanie programów, projektów lub zadań realizowanych z udziałem środków, o których mowa w art. 5 ust. 1 pkt 2 i 3 ustawy</w:t>
            </w:r>
          </w:p>
        </w:tc>
        <w:tc>
          <w:tcPr>
            <w:tcW w:w="7512" w:type="dxa"/>
            <w:gridSpan w:val="5"/>
            <w:tcBorders>
              <w:top w:val="single" w:sz="4" w:space="0" w:color="auto"/>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 </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9.1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Dochody bieżące na programy, projekty lub zadania finansowe z udziałem środków, o których mowa w art. 5 ust. 1 pkt 2 i 3 ustawy</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79 598,17</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182 558,17</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229,35%</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9.1.1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xml:space="preserve">Dotacje i środki o charakterze bieżącym na realizację </w:t>
            </w:r>
            <w:r w:rsidRPr="00FB1906">
              <w:rPr>
                <w:rFonts w:ascii="Arial" w:hAnsi="Arial" w:cs="Arial"/>
                <w:sz w:val="16"/>
                <w:szCs w:val="16"/>
              </w:rPr>
              <w:lastRenderedPageBreak/>
              <w:t>programu, projektu lub zadania finansowanego z udziałem środków, o których mowa w art. 5 ust. 1 pkt 2 ustawy, w tym:</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lastRenderedPageBreak/>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79 598,17</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182 558,17</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229,35%</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lastRenderedPageBreak/>
              <w:t>9.1.1.1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środki określone w art. 5 ust. 1 pkt 2 ustawy</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67 363,93</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154 498,98</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229,35%</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9.2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Dochody majątkowe na programy, projekty lub zadania finansowe z udziałem środków, o których mowa w art. 5 ust. 1 pkt 2 i 3 ustawy</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201 157,50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201 157,50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201 157,50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9.2.1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Dochody majątkowe na programy, projekty lub zadania finansowe z udziałem środków, o których mowa w art. 5 ust. 1 pkt 2 ustawy, w tym:</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201 157,50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201 157,50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201 157,50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9.2.1.1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środki określone w art. 5 ust. 1 pkt 2 ustawy</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201 157,50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201 157,50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201 157,50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9.3</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Wydatki bieżące na programy, projekty lub zadania finansowe z udziałem środków, o których mowa w art. 5 ust. 1 pkt 2 i 3 ustawy</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79 598,17</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9.3.1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Wydatki bieżące na programy, projekty lub zadania finansowe z udziałem środków, o których mowa w art. 5 ust. 1 pkt 2 ustawy, w tym:</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79 598,17</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9.3.1.1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finansowane środkami określonymi w art. 5 ust. 1 pkt 2 ustawy</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67 363,93</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9.4</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Wydatki majątkowe na programy, projekty lub zadania finansowe z udziałem środków, o których mowa w art. 5 ust. 1 pkt 2 i 3 ustawy</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9.4.1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Wydatki majątkowe na programy, projekty lub zadania finansowe z udziałem środków, o których mowa w art. 5 ust. 1 pkt 2 ustawy, w tym:</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9.4.1.1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finansowane środkami określonymi w art. 5 ust. 1 pkt 2 ustawy</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10</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Informacje uzupełniające o wybranych kategoriach finansowych</w:t>
            </w:r>
          </w:p>
        </w:tc>
        <w:tc>
          <w:tcPr>
            <w:tcW w:w="7512" w:type="dxa"/>
            <w:gridSpan w:val="5"/>
            <w:tcBorders>
              <w:top w:val="single" w:sz="4" w:space="0" w:color="auto"/>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b/>
                <w:bCs/>
                <w:sz w:val="16"/>
                <w:szCs w:val="16"/>
              </w:rPr>
            </w:pPr>
            <w:r w:rsidRPr="00FB1906">
              <w:rPr>
                <w:rFonts w:ascii="Arial" w:hAnsi="Arial" w:cs="Arial"/>
                <w:b/>
                <w:bCs/>
                <w:sz w:val="16"/>
                <w:szCs w:val="16"/>
              </w:rPr>
              <w:t> </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Wydatki objęte limitem, o którym mowa w art. 226 ust. 3 pkt 4 ustawy, z tego:</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2 239 771,13</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4 352 593,13</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4 352 593,13</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1 960 301,66</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45,04%</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10.1.1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bieżące</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238 807,78</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238 807,78</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238 807,78</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133 515,07</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55,91%</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10.1.2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majątkowe</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2 000 963,35</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4 113 785,35</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4 113 785,35</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1 826 786,59</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44,41%</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Wydatki bieżące na pokrycie ujemnego wyniku finansowego samodzielnego publicznego zakładu opieki zdrowotnej</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10.3</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Wydatki na spłatę zobowiązań przejmowanych w związku z likwidacją lub przekształceniem samodzielnego publicznego zakładu opieki zdrowotnej</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10.4</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Kwota zobowiązań związku współtworzonego przez jednostkę samorządu terytorialnego przypadających do spłaty w danym roku budżetowym, podlegająca doliczeniu zgodnie z art. 244 ustawy</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10.5</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xml:space="preserve">Kwota zobowiązań wynikających z przejęcia przez </w:t>
            </w:r>
            <w:r w:rsidRPr="00FB1906">
              <w:rPr>
                <w:rFonts w:ascii="Arial" w:hAnsi="Arial" w:cs="Arial"/>
                <w:sz w:val="16"/>
                <w:szCs w:val="16"/>
              </w:rPr>
              <w:lastRenderedPageBreak/>
              <w:t>jednostkę samorządu terytorialnego zobowiązań po likwidowanych i przekształcanych samorządowych osobach prawnych</w:t>
            </w:r>
          </w:p>
        </w:tc>
        <w:tc>
          <w:tcPr>
            <w:tcW w:w="1701"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lastRenderedPageBreak/>
              <w:t>0,00</w:t>
            </w:r>
          </w:p>
        </w:tc>
        <w:tc>
          <w:tcPr>
            <w:tcW w:w="1417"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lastRenderedPageBreak/>
              <w:t>10.6</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Spłaty, o których mowa w poz. 5.1., wynikające wyłącznie z tytułu zobowiązań już zaciągniętych</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1 916 800,00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1 916 800,00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1 916 800,00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250 000,00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13,04%</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10.7</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Wydatki zmniejszające dług, w tym:</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157 500,00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246 306,85</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246 306,85</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10.7.1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spłata zobowiązań wymagalnych z lat poprzednich, innych niż w poz. 10.7.3</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88 806,85</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88 806,85</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10.7.2</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spłata zobowiązań zaliczanych do tytułu dłużnego – kredyt i pożyczka, w tym:</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157 500,00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157 500,00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157 500,00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10.7.2.1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zobowiązań zaciągniętych po dniu 1 stycznia 2019 r.</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10.7.2.1.1</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dokonywana w formie wydatku bieżącego</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10.7.3</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wypłaty z tytułu wymagalnych poręczeń i gwarancji</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10.8</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 xml:space="preserve">Kwota wzrostu(+)/spadku(−) kwoty długu wynikająca z operacji </w:t>
            </w:r>
            <w:proofErr w:type="spellStart"/>
            <w:r w:rsidRPr="00FB1906">
              <w:rPr>
                <w:rFonts w:ascii="Arial" w:hAnsi="Arial" w:cs="Arial"/>
                <w:sz w:val="16"/>
                <w:szCs w:val="16"/>
              </w:rPr>
              <w:t>niekasowych</w:t>
            </w:r>
            <w:proofErr w:type="spellEnd"/>
            <w:r w:rsidRPr="00FB1906">
              <w:rPr>
                <w:rFonts w:ascii="Arial" w:hAnsi="Arial" w:cs="Arial"/>
                <w:sz w:val="16"/>
                <w:szCs w:val="16"/>
              </w:rPr>
              <w:t xml:space="preserve"> (m.in. umorzenia, różnice kursowe)</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r w:rsidR="00FB1906" w:rsidRPr="00FB1906" w:rsidTr="0001560B">
        <w:trPr>
          <w:trHeight w:val="283"/>
        </w:trPr>
        <w:tc>
          <w:tcPr>
            <w:tcW w:w="852" w:type="dxa"/>
            <w:tcBorders>
              <w:top w:val="nil"/>
              <w:left w:val="single" w:sz="4" w:space="0" w:color="auto"/>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10.9</w:t>
            </w:r>
          </w:p>
        </w:tc>
        <w:tc>
          <w:tcPr>
            <w:tcW w:w="4105" w:type="dxa"/>
            <w:tcBorders>
              <w:top w:val="nil"/>
              <w:left w:val="nil"/>
              <w:bottom w:val="single" w:sz="4" w:space="0" w:color="auto"/>
              <w:right w:val="single" w:sz="4" w:space="0" w:color="auto"/>
            </w:tcBorders>
            <w:shd w:val="clear" w:color="000000" w:fill="EAEAEA"/>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Wcześniejsza spłata zobowiązań, wyłączona z limitu spłaty zobowiązań, dokonywana w formie wydatków budżetowych</w:t>
            </w:r>
          </w:p>
        </w:tc>
        <w:tc>
          <w:tcPr>
            <w:tcW w:w="1701"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417" w:type="dxa"/>
            <w:tcBorders>
              <w:top w:val="nil"/>
              <w:left w:val="nil"/>
              <w:bottom w:val="single" w:sz="4" w:space="0" w:color="auto"/>
              <w:right w:val="single" w:sz="4" w:space="0" w:color="auto"/>
            </w:tcBorders>
            <w:shd w:val="clear" w:color="000000" w:fill="EAEAEA"/>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000000" w:fill="ADD8E6"/>
            <w:noWrap/>
            <w:vAlign w:val="center"/>
            <w:hideMark/>
          </w:tcPr>
          <w:p w:rsidR="00FB1906" w:rsidRPr="00FB1906" w:rsidRDefault="00FB1906" w:rsidP="00FB1906">
            <w:pPr>
              <w:widowControl/>
              <w:autoSpaceDE/>
              <w:autoSpaceDN/>
              <w:adjustRightInd/>
              <w:rPr>
                <w:rFonts w:ascii="Arial" w:hAnsi="Arial" w:cs="Arial"/>
                <w:sz w:val="16"/>
                <w:szCs w:val="16"/>
              </w:rPr>
            </w:pPr>
            <w:r w:rsidRPr="00FB1906">
              <w:rPr>
                <w:rFonts w:ascii="Arial" w:hAnsi="Arial" w:cs="Arial"/>
                <w:sz w:val="16"/>
                <w:szCs w:val="16"/>
              </w:rPr>
              <w:t>0,00%</w:t>
            </w:r>
          </w:p>
        </w:tc>
      </w:tr>
    </w:tbl>
    <w:p w:rsidR="00FB1906" w:rsidRPr="00395EA4" w:rsidRDefault="00FB1906" w:rsidP="00FB1906">
      <w:pPr>
        <w:spacing w:after="240"/>
        <w:jc w:val="both"/>
        <w:rPr>
          <w:rFonts w:ascii="Arial" w:hAnsi="Arial" w:cs="Calibri"/>
          <w:sz w:val="22"/>
          <w:szCs w:val="22"/>
        </w:rPr>
        <w:sectPr w:rsidR="00FB1906" w:rsidRPr="00395EA4" w:rsidSect="00FB1906">
          <w:headerReference w:type="default" r:id="rId10"/>
          <w:pgSz w:w="15840" w:h="12240" w:orient="landscape"/>
          <w:pgMar w:top="1417" w:right="1417" w:bottom="1417" w:left="1417" w:header="708" w:footer="708" w:gutter="0"/>
          <w:cols w:space="708"/>
          <w:noEndnote/>
          <w:docGrid w:linePitch="326"/>
        </w:sectPr>
      </w:pPr>
    </w:p>
    <w:tbl>
      <w:tblPr>
        <w:tblW w:w="13184" w:type="dxa"/>
        <w:tblInd w:w="-214" w:type="dxa"/>
        <w:tblCellMar>
          <w:left w:w="70" w:type="dxa"/>
          <w:right w:w="70" w:type="dxa"/>
        </w:tblCellMar>
        <w:tblLook w:val="04A0" w:firstRow="1" w:lastRow="0" w:firstColumn="1" w:lastColumn="0" w:noHBand="0" w:noVBand="1"/>
      </w:tblPr>
      <w:tblGrid>
        <w:gridCol w:w="710"/>
        <w:gridCol w:w="2538"/>
        <w:gridCol w:w="1431"/>
        <w:gridCol w:w="708"/>
        <w:gridCol w:w="851"/>
        <w:gridCol w:w="1276"/>
        <w:gridCol w:w="1275"/>
        <w:gridCol w:w="1560"/>
        <w:gridCol w:w="1275"/>
        <w:gridCol w:w="1560"/>
      </w:tblGrid>
      <w:tr w:rsidR="003961B4" w:rsidRPr="003961B4" w:rsidTr="003961B4">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lastRenderedPageBreak/>
              <w:t>Lp.</w:t>
            </w:r>
          </w:p>
        </w:tc>
        <w:tc>
          <w:tcPr>
            <w:tcW w:w="2538" w:type="dxa"/>
            <w:tcBorders>
              <w:top w:val="single" w:sz="4" w:space="0" w:color="auto"/>
              <w:left w:val="nil"/>
              <w:bottom w:val="single" w:sz="4" w:space="0" w:color="auto"/>
              <w:right w:val="single" w:sz="4" w:space="0" w:color="auto"/>
            </w:tcBorders>
            <w:shd w:val="clear" w:color="000000" w:fill="C0C0C0"/>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Nazwa i cel</w:t>
            </w:r>
          </w:p>
        </w:tc>
        <w:tc>
          <w:tcPr>
            <w:tcW w:w="1431" w:type="dxa"/>
            <w:tcBorders>
              <w:top w:val="single" w:sz="4" w:space="0" w:color="auto"/>
              <w:left w:val="nil"/>
              <w:bottom w:val="single" w:sz="4" w:space="0" w:color="auto"/>
              <w:right w:val="single" w:sz="4" w:space="0" w:color="auto"/>
            </w:tcBorders>
            <w:shd w:val="clear" w:color="000000" w:fill="C0C0C0"/>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Jednostka</w:t>
            </w:r>
          </w:p>
        </w:tc>
        <w:tc>
          <w:tcPr>
            <w:tcW w:w="708" w:type="dxa"/>
            <w:tcBorders>
              <w:top w:val="single" w:sz="4" w:space="0" w:color="auto"/>
              <w:left w:val="nil"/>
              <w:bottom w:val="single" w:sz="4" w:space="0" w:color="auto"/>
              <w:right w:val="single" w:sz="4" w:space="0" w:color="auto"/>
            </w:tcBorders>
            <w:shd w:val="clear" w:color="000000" w:fill="C0C0C0"/>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Od</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Do</w:t>
            </w:r>
          </w:p>
        </w:tc>
        <w:tc>
          <w:tcPr>
            <w:tcW w:w="1276" w:type="dxa"/>
            <w:tcBorders>
              <w:top w:val="single" w:sz="4" w:space="0" w:color="auto"/>
              <w:left w:val="nil"/>
              <w:bottom w:val="single" w:sz="4" w:space="0" w:color="auto"/>
              <w:right w:val="single" w:sz="4" w:space="0" w:color="auto"/>
            </w:tcBorders>
            <w:shd w:val="clear" w:color="000000" w:fill="C0C0C0"/>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Nakłady</w:t>
            </w:r>
          </w:p>
        </w:tc>
        <w:tc>
          <w:tcPr>
            <w:tcW w:w="1275" w:type="dxa"/>
            <w:tcBorders>
              <w:top w:val="single" w:sz="4" w:space="0" w:color="auto"/>
              <w:left w:val="nil"/>
              <w:bottom w:val="single" w:sz="4" w:space="0" w:color="auto"/>
              <w:right w:val="single" w:sz="4" w:space="0" w:color="auto"/>
            </w:tcBorders>
            <w:shd w:val="clear" w:color="000000" w:fill="C0C0C0"/>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Plan na 1.01.2020 r.</w:t>
            </w:r>
          </w:p>
        </w:tc>
        <w:tc>
          <w:tcPr>
            <w:tcW w:w="1560" w:type="dxa"/>
            <w:tcBorders>
              <w:top w:val="single" w:sz="4" w:space="0" w:color="auto"/>
              <w:left w:val="nil"/>
              <w:bottom w:val="single" w:sz="4" w:space="0" w:color="auto"/>
              <w:right w:val="single" w:sz="4" w:space="0" w:color="auto"/>
            </w:tcBorders>
            <w:shd w:val="clear" w:color="000000" w:fill="C0C0C0"/>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Plan po zmianach na 30.06.2020 r.</w:t>
            </w:r>
          </w:p>
        </w:tc>
        <w:tc>
          <w:tcPr>
            <w:tcW w:w="1275" w:type="dxa"/>
            <w:tcBorders>
              <w:top w:val="single" w:sz="4" w:space="0" w:color="auto"/>
              <w:left w:val="nil"/>
              <w:bottom w:val="single" w:sz="4" w:space="0" w:color="auto"/>
              <w:right w:val="single" w:sz="4" w:space="0" w:color="auto"/>
            </w:tcBorders>
            <w:shd w:val="clear" w:color="000000" w:fill="C0C0C0"/>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Wykonanie</w:t>
            </w:r>
          </w:p>
        </w:tc>
        <w:tc>
          <w:tcPr>
            <w:tcW w:w="1560" w:type="dxa"/>
            <w:tcBorders>
              <w:top w:val="single" w:sz="4" w:space="0" w:color="auto"/>
              <w:left w:val="nil"/>
              <w:bottom w:val="single" w:sz="4" w:space="0" w:color="auto"/>
              <w:right w:val="single" w:sz="4" w:space="0" w:color="auto"/>
            </w:tcBorders>
            <w:shd w:val="clear" w:color="000000" w:fill="C0C0C0"/>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Stopień realizacji w I półroczu 2020 r.</w:t>
            </w:r>
          </w:p>
        </w:tc>
      </w:tr>
      <w:tr w:rsidR="003961B4" w:rsidRPr="003961B4" w:rsidTr="003961B4">
        <w:trPr>
          <w:trHeight w:val="285"/>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Przedsięwzięcia razem</w:t>
            </w:r>
          </w:p>
        </w:tc>
        <w:tc>
          <w:tcPr>
            <w:tcW w:w="1431"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5 054 915,46</w:t>
            </w:r>
          </w:p>
        </w:tc>
        <w:tc>
          <w:tcPr>
            <w:tcW w:w="1275"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2 239 771,13</w:t>
            </w:r>
          </w:p>
        </w:tc>
        <w:tc>
          <w:tcPr>
            <w:tcW w:w="1560"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4 352 593,13</w:t>
            </w:r>
          </w:p>
        </w:tc>
        <w:tc>
          <w:tcPr>
            <w:tcW w:w="1275"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1 960 301,66</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45,04%</w:t>
            </w:r>
          </w:p>
        </w:tc>
      </w:tr>
      <w:tr w:rsidR="003961B4" w:rsidRPr="003961B4" w:rsidTr="003961B4">
        <w:trPr>
          <w:trHeight w:val="285"/>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1.a</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wydatki bieżące</w:t>
            </w:r>
          </w:p>
        </w:tc>
        <w:tc>
          <w:tcPr>
            <w:tcW w:w="1431"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714 980,11</w:t>
            </w:r>
          </w:p>
        </w:tc>
        <w:tc>
          <w:tcPr>
            <w:tcW w:w="1275"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238 807,78</w:t>
            </w:r>
          </w:p>
        </w:tc>
        <w:tc>
          <w:tcPr>
            <w:tcW w:w="1560"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238 807,78</w:t>
            </w:r>
          </w:p>
        </w:tc>
        <w:tc>
          <w:tcPr>
            <w:tcW w:w="1275"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133 515,07</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55,91%</w:t>
            </w:r>
          </w:p>
        </w:tc>
      </w:tr>
      <w:tr w:rsidR="003961B4" w:rsidRPr="003961B4" w:rsidTr="003961B4">
        <w:trPr>
          <w:trHeight w:val="285"/>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1.b</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wydatki majątkowe</w:t>
            </w:r>
          </w:p>
        </w:tc>
        <w:tc>
          <w:tcPr>
            <w:tcW w:w="1431"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4 339 935,35</w:t>
            </w:r>
          </w:p>
        </w:tc>
        <w:tc>
          <w:tcPr>
            <w:tcW w:w="1275"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2 000 963,35</w:t>
            </w:r>
          </w:p>
        </w:tc>
        <w:tc>
          <w:tcPr>
            <w:tcW w:w="1560"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4 113 785,35</w:t>
            </w:r>
          </w:p>
        </w:tc>
        <w:tc>
          <w:tcPr>
            <w:tcW w:w="1275"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1 826 786,59</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44,41%</w:t>
            </w:r>
          </w:p>
        </w:tc>
      </w:tr>
      <w:tr w:rsidR="003961B4" w:rsidRPr="003961B4" w:rsidTr="003961B4">
        <w:trPr>
          <w:trHeight w:val="1313"/>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1.1</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Wydatki na programy, projekty lub zadania związane z programami realizowanymi z udziałem środków, o których mowa w art.5 ust.1 pkt 2 i 3 ustawy z dnia 27 sierpnia 2009.r. o finansach publicznych (</w:t>
            </w:r>
            <w:proofErr w:type="spellStart"/>
            <w:r w:rsidRPr="003961B4">
              <w:rPr>
                <w:rFonts w:ascii="Arial" w:hAnsi="Arial" w:cs="Arial"/>
                <w:b/>
                <w:bCs/>
                <w:sz w:val="16"/>
                <w:szCs w:val="16"/>
              </w:rPr>
              <w:t>Dz.U.Nr</w:t>
            </w:r>
            <w:proofErr w:type="spellEnd"/>
            <w:r w:rsidRPr="003961B4">
              <w:rPr>
                <w:rFonts w:ascii="Arial" w:hAnsi="Arial" w:cs="Arial"/>
                <w:b/>
                <w:bCs/>
                <w:sz w:val="16"/>
                <w:szCs w:val="16"/>
              </w:rPr>
              <w:t xml:space="preserve"> 157, poz.1240,z późn.zm.):</w:t>
            </w:r>
          </w:p>
        </w:tc>
        <w:tc>
          <w:tcPr>
            <w:tcW w:w="1431"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560"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r>
      <w:tr w:rsidR="003961B4" w:rsidRPr="003961B4" w:rsidTr="003961B4">
        <w:trPr>
          <w:trHeight w:val="285"/>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1.1.1</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wydatki bieżące</w:t>
            </w:r>
          </w:p>
        </w:tc>
        <w:tc>
          <w:tcPr>
            <w:tcW w:w="1431"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560"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r>
      <w:tr w:rsidR="003961B4" w:rsidRPr="003961B4" w:rsidTr="003961B4">
        <w:trPr>
          <w:trHeight w:val="285"/>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1.1.2</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wydatki majątkowe</w:t>
            </w:r>
          </w:p>
        </w:tc>
        <w:tc>
          <w:tcPr>
            <w:tcW w:w="1431"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560"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r>
      <w:tr w:rsidR="003961B4" w:rsidRPr="003961B4" w:rsidTr="003961B4">
        <w:trPr>
          <w:trHeight w:val="540"/>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1.2</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Wydatki na programy, projekty lub zadania związane z umowami partnerstwa publiczno-prywatnego:</w:t>
            </w:r>
          </w:p>
        </w:tc>
        <w:tc>
          <w:tcPr>
            <w:tcW w:w="1431"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560"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r>
      <w:tr w:rsidR="003961B4" w:rsidRPr="003961B4" w:rsidTr="003961B4">
        <w:trPr>
          <w:trHeight w:val="285"/>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1.2.1</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wydatki bieżące</w:t>
            </w:r>
          </w:p>
        </w:tc>
        <w:tc>
          <w:tcPr>
            <w:tcW w:w="1431"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560"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r>
      <w:tr w:rsidR="003961B4" w:rsidRPr="003961B4" w:rsidTr="003961B4">
        <w:trPr>
          <w:trHeight w:val="285"/>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1.2.2</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wydatki majątkowe</w:t>
            </w:r>
          </w:p>
        </w:tc>
        <w:tc>
          <w:tcPr>
            <w:tcW w:w="1431"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560"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0,00%</w:t>
            </w:r>
          </w:p>
        </w:tc>
      </w:tr>
      <w:tr w:rsidR="003961B4" w:rsidRPr="003961B4" w:rsidTr="003961B4">
        <w:trPr>
          <w:trHeight w:val="540"/>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1.3</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Wydatki na programy, projekty lub zadania pozostałe (inne niż wymienione w pkt 1.1 i 1.2):</w:t>
            </w:r>
          </w:p>
        </w:tc>
        <w:tc>
          <w:tcPr>
            <w:tcW w:w="1431"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5 054 915,46</w:t>
            </w:r>
          </w:p>
        </w:tc>
        <w:tc>
          <w:tcPr>
            <w:tcW w:w="1275"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2 239 771,13</w:t>
            </w:r>
          </w:p>
        </w:tc>
        <w:tc>
          <w:tcPr>
            <w:tcW w:w="1560"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4 352 593,13</w:t>
            </w:r>
          </w:p>
        </w:tc>
        <w:tc>
          <w:tcPr>
            <w:tcW w:w="1275"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1 960 301,66</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45,04%</w:t>
            </w:r>
          </w:p>
        </w:tc>
      </w:tr>
      <w:tr w:rsidR="003961B4" w:rsidRPr="003961B4" w:rsidTr="003961B4">
        <w:trPr>
          <w:trHeight w:val="285"/>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1.3.1</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wydatki bieżące</w:t>
            </w:r>
          </w:p>
        </w:tc>
        <w:tc>
          <w:tcPr>
            <w:tcW w:w="1431"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714 980,11</w:t>
            </w:r>
          </w:p>
        </w:tc>
        <w:tc>
          <w:tcPr>
            <w:tcW w:w="1275"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238 807,78</w:t>
            </w:r>
          </w:p>
        </w:tc>
        <w:tc>
          <w:tcPr>
            <w:tcW w:w="1560"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238 807,78</w:t>
            </w:r>
          </w:p>
        </w:tc>
        <w:tc>
          <w:tcPr>
            <w:tcW w:w="1275"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133 515,07</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55,91%</w:t>
            </w:r>
          </w:p>
        </w:tc>
      </w:tr>
      <w:tr w:rsidR="003961B4" w:rsidRPr="003961B4" w:rsidTr="003961B4">
        <w:trPr>
          <w:trHeight w:val="540"/>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1.3.1.1</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Wykonanie ewidencji dróg gminnych - spełnienie zapisu ustawy o drogach publicznych - zadanie własne gminy</w:t>
            </w:r>
          </w:p>
        </w:tc>
        <w:tc>
          <w:tcPr>
            <w:tcW w:w="1431"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UM Rogoźno</w:t>
            </w:r>
          </w:p>
        </w:tc>
        <w:tc>
          <w:tcPr>
            <w:tcW w:w="708" w:type="dxa"/>
            <w:tcBorders>
              <w:top w:val="nil"/>
              <w:left w:val="nil"/>
              <w:bottom w:val="single" w:sz="4" w:space="0" w:color="auto"/>
              <w:right w:val="single" w:sz="4" w:space="0" w:color="auto"/>
            </w:tcBorders>
            <w:shd w:val="clear" w:color="000000" w:fill="FFFFFF"/>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2018</w:t>
            </w:r>
          </w:p>
        </w:tc>
        <w:tc>
          <w:tcPr>
            <w:tcW w:w="851" w:type="dxa"/>
            <w:tcBorders>
              <w:top w:val="nil"/>
              <w:left w:val="nil"/>
              <w:bottom w:val="single" w:sz="4" w:space="0" w:color="auto"/>
              <w:right w:val="single" w:sz="4" w:space="0" w:color="auto"/>
            </w:tcBorders>
            <w:shd w:val="clear" w:color="000000" w:fill="FFFFFF"/>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2020</w:t>
            </w:r>
          </w:p>
        </w:tc>
        <w:tc>
          <w:tcPr>
            <w:tcW w:w="1276"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67 301,91</w:t>
            </w:r>
          </w:p>
        </w:tc>
        <w:tc>
          <w:tcPr>
            <w:tcW w:w="1275"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28 222,35</w:t>
            </w:r>
          </w:p>
        </w:tc>
        <w:tc>
          <w:tcPr>
            <w:tcW w:w="1560"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28 222,35</w:t>
            </w:r>
          </w:p>
        </w:tc>
        <w:tc>
          <w:tcPr>
            <w:tcW w:w="1275" w:type="dxa"/>
            <w:tcBorders>
              <w:top w:val="nil"/>
              <w:left w:val="nil"/>
              <w:bottom w:val="single" w:sz="4" w:space="0" w:color="auto"/>
              <w:right w:val="single" w:sz="4" w:space="0" w:color="auto"/>
            </w:tcBorders>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28 222,35</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100,00%</w:t>
            </w:r>
          </w:p>
        </w:tc>
      </w:tr>
      <w:tr w:rsidR="003961B4" w:rsidRPr="003961B4" w:rsidTr="003961B4">
        <w:trPr>
          <w:trHeight w:val="540"/>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1.3.1.2</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Wzmocnienie wojewódzkich kolejowych przewozów - Wzmocnienie wojewódzkich kolejowych przewozów</w:t>
            </w:r>
          </w:p>
        </w:tc>
        <w:tc>
          <w:tcPr>
            <w:tcW w:w="1431"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UM Rogoźno</w:t>
            </w:r>
          </w:p>
        </w:tc>
        <w:tc>
          <w:tcPr>
            <w:tcW w:w="708" w:type="dxa"/>
            <w:tcBorders>
              <w:top w:val="nil"/>
              <w:left w:val="nil"/>
              <w:bottom w:val="single" w:sz="4" w:space="0" w:color="auto"/>
              <w:right w:val="single" w:sz="4" w:space="0" w:color="auto"/>
            </w:tcBorders>
            <w:shd w:val="clear" w:color="000000" w:fill="FFFFFF"/>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2020</w:t>
            </w:r>
          </w:p>
        </w:tc>
        <w:tc>
          <w:tcPr>
            <w:tcW w:w="851" w:type="dxa"/>
            <w:tcBorders>
              <w:top w:val="nil"/>
              <w:left w:val="nil"/>
              <w:bottom w:val="single" w:sz="4" w:space="0" w:color="auto"/>
              <w:right w:val="single" w:sz="4" w:space="0" w:color="auto"/>
            </w:tcBorders>
            <w:shd w:val="clear" w:color="000000" w:fill="FFFFFF"/>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2022</w:t>
            </w:r>
          </w:p>
        </w:tc>
        <w:tc>
          <w:tcPr>
            <w:tcW w:w="1276"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647 678,20</w:t>
            </w:r>
          </w:p>
        </w:tc>
        <w:tc>
          <w:tcPr>
            <w:tcW w:w="1275"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210 585,43</w:t>
            </w:r>
          </w:p>
        </w:tc>
        <w:tc>
          <w:tcPr>
            <w:tcW w:w="1560"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210 585,43</w:t>
            </w:r>
          </w:p>
        </w:tc>
        <w:tc>
          <w:tcPr>
            <w:tcW w:w="1275" w:type="dxa"/>
            <w:tcBorders>
              <w:top w:val="nil"/>
              <w:left w:val="nil"/>
              <w:bottom w:val="single" w:sz="4" w:space="0" w:color="auto"/>
              <w:right w:val="single" w:sz="4" w:space="0" w:color="auto"/>
            </w:tcBorders>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105 292,72</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50,00%</w:t>
            </w:r>
          </w:p>
        </w:tc>
      </w:tr>
      <w:tr w:rsidR="003961B4" w:rsidRPr="003961B4" w:rsidTr="003961B4">
        <w:trPr>
          <w:trHeight w:val="285"/>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1.3.2</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wydatki majątkowe</w:t>
            </w:r>
          </w:p>
        </w:tc>
        <w:tc>
          <w:tcPr>
            <w:tcW w:w="1431"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4 339 935,35</w:t>
            </w:r>
          </w:p>
        </w:tc>
        <w:tc>
          <w:tcPr>
            <w:tcW w:w="1275"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2 000 963,35</w:t>
            </w:r>
          </w:p>
        </w:tc>
        <w:tc>
          <w:tcPr>
            <w:tcW w:w="1560"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4 113 785,35</w:t>
            </w:r>
          </w:p>
        </w:tc>
        <w:tc>
          <w:tcPr>
            <w:tcW w:w="1275" w:type="dxa"/>
            <w:tcBorders>
              <w:top w:val="nil"/>
              <w:left w:val="nil"/>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1 826 786,59</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b/>
                <w:bCs/>
                <w:sz w:val="16"/>
                <w:szCs w:val="16"/>
              </w:rPr>
            </w:pPr>
            <w:r w:rsidRPr="003961B4">
              <w:rPr>
                <w:rFonts w:ascii="Arial" w:hAnsi="Arial" w:cs="Arial"/>
                <w:b/>
                <w:bCs/>
                <w:sz w:val="16"/>
                <w:szCs w:val="16"/>
              </w:rPr>
              <w:t>44,41%</w:t>
            </w:r>
          </w:p>
        </w:tc>
      </w:tr>
      <w:tr w:rsidR="003961B4" w:rsidRPr="003961B4" w:rsidTr="003961B4">
        <w:trPr>
          <w:trHeight w:val="540"/>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1.3.2.1</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Budowa ulicy Długiej i Seminarialnej w Rogoźnie - poprawa bezpieczeństwa i życia mieszkańców</w:t>
            </w:r>
          </w:p>
        </w:tc>
        <w:tc>
          <w:tcPr>
            <w:tcW w:w="1431"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UM Rogoźno</w:t>
            </w:r>
          </w:p>
        </w:tc>
        <w:tc>
          <w:tcPr>
            <w:tcW w:w="708" w:type="dxa"/>
            <w:tcBorders>
              <w:top w:val="nil"/>
              <w:left w:val="nil"/>
              <w:bottom w:val="single" w:sz="4" w:space="0" w:color="auto"/>
              <w:right w:val="single" w:sz="4" w:space="0" w:color="auto"/>
            </w:tcBorders>
            <w:shd w:val="clear" w:color="000000" w:fill="FFFFFF"/>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2019</w:t>
            </w:r>
          </w:p>
        </w:tc>
        <w:tc>
          <w:tcPr>
            <w:tcW w:w="851" w:type="dxa"/>
            <w:tcBorders>
              <w:top w:val="nil"/>
              <w:left w:val="nil"/>
              <w:bottom w:val="single" w:sz="4" w:space="0" w:color="auto"/>
              <w:right w:val="single" w:sz="4" w:space="0" w:color="auto"/>
            </w:tcBorders>
            <w:shd w:val="clear" w:color="000000" w:fill="FFFFFF"/>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2020</w:t>
            </w:r>
          </w:p>
        </w:tc>
        <w:tc>
          <w:tcPr>
            <w:tcW w:w="1276"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3 956 285,35</w:t>
            </w:r>
          </w:p>
        </w:tc>
        <w:tc>
          <w:tcPr>
            <w:tcW w:w="1275"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1 843 463,35</w:t>
            </w:r>
          </w:p>
        </w:tc>
        <w:tc>
          <w:tcPr>
            <w:tcW w:w="1560"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3 956 285,35</w:t>
            </w:r>
          </w:p>
        </w:tc>
        <w:tc>
          <w:tcPr>
            <w:tcW w:w="1275" w:type="dxa"/>
            <w:tcBorders>
              <w:top w:val="nil"/>
              <w:left w:val="nil"/>
              <w:bottom w:val="single" w:sz="4" w:space="0" w:color="auto"/>
              <w:right w:val="single" w:sz="4" w:space="0" w:color="auto"/>
            </w:tcBorders>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1 669 286,59</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42,19%</w:t>
            </w:r>
          </w:p>
        </w:tc>
      </w:tr>
      <w:tr w:rsidR="003961B4" w:rsidRPr="003961B4" w:rsidTr="003961B4">
        <w:trPr>
          <w:trHeight w:val="540"/>
        </w:trPr>
        <w:tc>
          <w:tcPr>
            <w:tcW w:w="710" w:type="dxa"/>
            <w:tcBorders>
              <w:top w:val="nil"/>
              <w:left w:val="single" w:sz="4" w:space="0" w:color="auto"/>
              <w:bottom w:val="single" w:sz="4" w:space="0" w:color="auto"/>
              <w:right w:val="single" w:sz="4" w:space="0" w:color="auto"/>
            </w:tcBorders>
            <w:shd w:val="clear" w:color="000000" w:fill="EAEAEA"/>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1.3.2.2</w:t>
            </w:r>
          </w:p>
        </w:tc>
        <w:tc>
          <w:tcPr>
            <w:tcW w:w="2538" w:type="dxa"/>
            <w:tcBorders>
              <w:top w:val="nil"/>
              <w:left w:val="nil"/>
              <w:bottom w:val="single" w:sz="4" w:space="0" w:color="auto"/>
              <w:right w:val="single" w:sz="4" w:space="0" w:color="auto"/>
            </w:tcBorders>
            <w:shd w:val="clear" w:color="000000" w:fill="EAEAEA"/>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Zakup nieruchomości gruntowej od SM w Obornikach - realizacja zadań własnych gminy</w:t>
            </w:r>
          </w:p>
        </w:tc>
        <w:tc>
          <w:tcPr>
            <w:tcW w:w="1431"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UM Rogoźno</w:t>
            </w:r>
          </w:p>
        </w:tc>
        <w:tc>
          <w:tcPr>
            <w:tcW w:w="708" w:type="dxa"/>
            <w:tcBorders>
              <w:top w:val="nil"/>
              <w:left w:val="nil"/>
              <w:bottom w:val="single" w:sz="4" w:space="0" w:color="auto"/>
              <w:right w:val="single" w:sz="4" w:space="0" w:color="auto"/>
            </w:tcBorders>
            <w:shd w:val="clear" w:color="000000" w:fill="FFFFFF"/>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2018</w:t>
            </w:r>
          </w:p>
        </w:tc>
        <w:tc>
          <w:tcPr>
            <w:tcW w:w="851" w:type="dxa"/>
            <w:tcBorders>
              <w:top w:val="nil"/>
              <w:left w:val="nil"/>
              <w:bottom w:val="single" w:sz="4" w:space="0" w:color="auto"/>
              <w:right w:val="single" w:sz="4" w:space="0" w:color="auto"/>
            </w:tcBorders>
            <w:shd w:val="clear" w:color="000000" w:fill="FFFFFF"/>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2020</w:t>
            </w:r>
          </w:p>
        </w:tc>
        <w:tc>
          <w:tcPr>
            <w:tcW w:w="1276"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383 650,00</w:t>
            </w:r>
          </w:p>
        </w:tc>
        <w:tc>
          <w:tcPr>
            <w:tcW w:w="1275"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157 500,00</w:t>
            </w:r>
          </w:p>
        </w:tc>
        <w:tc>
          <w:tcPr>
            <w:tcW w:w="1560" w:type="dxa"/>
            <w:tcBorders>
              <w:top w:val="nil"/>
              <w:left w:val="nil"/>
              <w:bottom w:val="single" w:sz="4" w:space="0" w:color="auto"/>
              <w:right w:val="single" w:sz="4" w:space="0" w:color="auto"/>
            </w:tcBorders>
            <w:shd w:val="clear" w:color="000000" w:fill="FFFFFF"/>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157 500,00</w:t>
            </w:r>
          </w:p>
        </w:tc>
        <w:tc>
          <w:tcPr>
            <w:tcW w:w="1275" w:type="dxa"/>
            <w:tcBorders>
              <w:top w:val="nil"/>
              <w:left w:val="nil"/>
              <w:bottom w:val="single" w:sz="4" w:space="0" w:color="auto"/>
              <w:right w:val="single" w:sz="4" w:space="0" w:color="auto"/>
            </w:tcBorders>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157 500,00</w:t>
            </w:r>
          </w:p>
        </w:tc>
        <w:tc>
          <w:tcPr>
            <w:tcW w:w="1560" w:type="dxa"/>
            <w:tcBorders>
              <w:top w:val="nil"/>
              <w:left w:val="nil"/>
              <w:bottom w:val="single" w:sz="4" w:space="0" w:color="auto"/>
              <w:right w:val="single" w:sz="4" w:space="0" w:color="auto"/>
            </w:tcBorders>
            <w:shd w:val="clear" w:color="000000" w:fill="ADD8E6"/>
            <w:noWrap/>
            <w:vAlign w:val="center"/>
            <w:hideMark/>
          </w:tcPr>
          <w:p w:rsidR="003961B4" w:rsidRPr="003961B4" w:rsidRDefault="003961B4" w:rsidP="003961B4">
            <w:pPr>
              <w:widowControl/>
              <w:autoSpaceDE/>
              <w:autoSpaceDN/>
              <w:adjustRightInd/>
              <w:rPr>
                <w:rFonts w:ascii="Arial" w:hAnsi="Arial" w:cs="Arial"/>
                <w:sz w:val="16"/>
                <w:szCs w:val="16"/>
              </w:rPr>
            </w:pPr>
            <w:r w:rsidRPr="003961B4">
              <w:rPr>
                <w:rFonts w:ascii="Arial" w:hAnsi="Arial" w:cs="Arial"/>
                <w:sz w:val="16"/>
                <w:szCs w:val="16"/>
              </w:rPr>
              <w:t>100,00%</w:t>
            </w:r>
          </w:p>
        </w:tc>
      </w:tr>
    </w:tbl>
    <w:p w:rsidR="005B04F5" w:rsidRPr="005B04F5" w:rsidRDefault="005B04F5" w:rsidP="005B04F5">
      <w:pPr>
        <w:spacing w:after="240"/>
        <w:jc w:val="both"/>
        <w:rPr>
          <w:rFonts w:ascii="Arial" w:hAnsi="Arial" w:cs="Calibri"/>
          <w:sz w:val="18"/>
          <w:szCs w:val="18"/>
        </w:rPr>
      </w:pPr>
    </w:p>
    <w:sectPr w:rsidR="005B04F5" w:rsidRPr="005B04F5" w:rsidSect="00FB1906">
      <w:headerReference w:type="default" r:id="rId11"/>
      <w:pgSz w:w="15840" w:h="12240" w:orient="landscape"/>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EC" w:rsidRDefault="00BC10EC" w:rsidP="00FB1906">
      <w:r>
        <w:separator/>
      </w:r>
    </w:p>
  </w:endnote>
  <w:endnote w:type="continuationSeparator" w:id="0">
    <w:p w:rsidR="00BC10EC" w:rsidRDefault="00BC10EC" w:rsidP="00FB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EC" w:rsidRDefault="00BC10EC" w:rsidP="00FB1906">
      <w:r>
        <w:separator/>
      </w:r>
    </w:p>
  </w:footnote>
  <w:footnote w:type="continuationSeparator" w:id="0">
    <w:p w:rsidR="00BC10EC" w:rsidRDefault="00BC10EC" w:rsidP="00FB1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06" w:rsidRDefault="00FB1906" w:rsidP="00FB1906">
    <w:pPr>
      <w:pStyle w:val="Nagwek"/>
    </w:pPr>
    <w:r w:rsidRPr="0027058E">
      <w:t>Załącznik nr 1 do informacji półrocznej o kształtowaniu się Wieloletniej Prognoz</w:t>
    </w:r>
    <w:r>
      <w:t>y Finansowej Gminy Rogoźno na lata 2020-2037</w:t>
    </w:r>
  </w:p>
  <w:p w:rsidR="00FB1906" w:rsidRDefault="00FB190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06" w:rsidRPr="006A4257" w:rsidRDefault="00FB1906" w:rsidP="00FB1906">
    <w:pPr>
      <w:pStyle w:val="Nagwek"/>
    </w:pPr>
    <w:r w:rsidRPr="006A4257">
      <w:t>Załącznik nr 2 do informacji półrocznej o kształtowaniu się Wieloletniej Prognoz</w:t>
    </w:r>
    <w:r>
      <w:t>y Finansowej Gminy Rogoźno na lata 2020-2037</w:t>
    </w:r>
  </w:p>
  <w:p w:rsidR="00FB1906" w:rsidRDefault="00FB19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75F76"/>
    <w:multiLevelType w:val="hybridMultilevel"/>
    <w:tmpl w:val="E7E4A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F5"/>
    <w:rsid w:val="00007D18"/>
    <w:rsid w:val="00013450"/>
    <w:rsid w:val="0001560B"/>
    <w:rsid w:val="0027058E"/>
    <w:rsid w:val="00395EA4"/>
    <w:rsid w:val="003961B4"/>
    <w:rsid w:val="00471CB4"/>
    <w:rsid w:val="004B3F43"/>
    <w:rsid w:val="004E1075"/>
    <w:rsid w:val="005350B3"/>
    <w:rsid w:val="00590FB0"/>
    <w:rsid w:val="005B04F5"/>
    <w:rsid w:val="005C190A"/>
    <w:rsid w:val="006A4257"/>
    <w:rsid w:val="006D6719"/>
    <w:rsid w:val="007332CC"/>
    <w:rsid w:val="00752D54"/>
    <w:rsid w:val="007C04F6"/>
    <w:rsid w:val="007E7A5C"/>
    <w:rsid w:val="008307FE"/>
    <w:rsid w:val="00832CB2"/>
    <w:rsid w:val="008C6EC0"/>
    <w:rsid w:val="00A57158"/>
    <w:rsid w:val="00B1387B"/>
    <w:rsid w:val="00B5193E"/>
    <w:rsid w:val="00BC10EC"/>
    <w:rsid w:val="00CB034B"/>
    <w:rsid w:val="00E239B4"/>
    <w:rsid w:val="00E3499C"/>
    <w:rsid w:val="00EA0C0C"/>
    <w:rsid w:val="00FB1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autoSpaceDE w:val="0"/>
      <w:autoSpaceDN w:val="0"/>
      <w:adjustRightInd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rPr>
      <w:rFonts w:asciiTheme="minorHAnsi" w:hAnsiTheme="minorHAnsi" w:cs="Times New Roman"/>
    </w:rPr>
  </w:style>
  <w:style w:type="character" w:styleId="Hipercze">
    <w:name w:val="Hyperlink"/>
    <w:basedOn w:val="Domylnaczcionkaakapitu"/>
    <w:uiPriority w:val="99"/>
    <w:rPr>
      <w:rFonts w:asciiTheme="minorHAnsi" w:hAnsiTheme="minorHAnsi" w:cs="Times New Roman"/>
      <w:color w:val="0000FF"/>
      <w:u w:val="single"/>
    </w:rPr>
  </w:style>
  <w:style w:type="table" w:styleId="Tabela-Prosty1">
    <w:name w:val="Table Simple 1"/>
    <w:basedOn w:val="Standardowy"/>
    <w:uiPriority w:val="99"/>
    <w:pPr>
      <w:widowControl w:val="0"/>
      <w:autoSpaceDE w:val="0"/>
      <w:autoSpaceDN w:val="0"/>
      <w:adjustRightInd w:val="0"/>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agwek">
    <w:name w:val="header"/>
    <w:basedOn w:val="Normalny"/>
    <w:link w:val="NagwekZnak"/>
    <w:uiPriority w:val="99"/>
    <w:unhideWhenUsed/>
    <w:rsid w:val="00FB1906"/>
    <w:pPr>
      <w:tabs>
        <w:tab w:val="center" w:pos="4536"/>
        <w:tab w:val="right" w:pos="9072"/>
      </w:tabs>
    </w:pPr>
  </w:style>
  <w:style w:type="character" w:customStyle="1" w:styleId="NagwekZnak">
    <w:name w:val="Nagłówek Znak"/>
    <w:basedOn w:val="Domylnaczcionkaakapitu"/>
    <w:link w:val="Nagwek"/>
    <w:uiPriority w:val="99"/>
    <w:locked/>
    <w:rsid w:val="00FB1906"/>
    <w:rPr>
      <w:rFonts w:cs="Times New Roman"/>
      <w:sz w:val="24"/>
    </w:rPr>
  </w:style>
  <w:style w:type="paragraph" w:styleId="Stopka">
    <w:name w:val="footer"/>
    <w:basedOn w:val="Normalny"/>
    <w:link w:val="StopkaZnak"/>
    <w:uiPriority w:val="99"/>
    <w:unhideWhenUsed/>
    <w:rsid w:val="00FB1906"/>
    <w:pPr>
      <w:tabs>
        <w:tab w:val="center" w:pos="4536"/>
        <w:tab w:val="right" w:pos="9072"/>
      </w:tabs>
    </w:pPr>
  </w:style>
  <w:style w:type="character" w:customStyle="1" w:styleId="StopkaZnak">
    <w:name w:val="Stopka Znak"/>
    <w:basedOn w:val="Domylnaczcionkaakapitu"/>
    <w:link w:val="Stopka"/>
    <w:uiPriority w:val="99"/>
    <w:locked/>
    <w:rsid w:val="00FB1906"/>
    <w:rPr>
      <w:rFonts w:cs="Times New Roman"/>
      <w:sz w:val="24"/>
    </w:rPr>
  </w:style>
  <w:style w:type="paragraph" w:styleId="Tekstdymka">
    <w:name w:val="Balloon Text"/>
    <w:basedOn w:val="Normalny"/>
    <w:link w:val="TekstdymkaZnak"/>
    <w:uiPriority w:val="99"/>
    <w:semiHidden/>
    <w:unhideWhenUsed/>
    <w:rsid w:val="008307FE"/>
    <w:rPr>
      <w:rFonts w:ascii="Tahoma" w:hAnsi="Tahoma" w:cs="Tahoma"/>
      <w:sz w:val="16"/>
      <w:szCs w:val="16"/>
    </w:rPr>
  </w:style>
  <w:style w:type="character" w:customStyle="1" w:styleId="TekstdymkaZnak">
    <w:name w:val="Tekst dymka Znak"/>
    <w:basedOn w:val="Domylnaczcionkaakapitu"/>
    <w:link w:val="Tekstdymka"/>
    <w:uiPriority w:val="99"/>
    <w:semiHidden/>
    <w:rsid w:val="00830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autoSpaceDE w:val="0"/>
      <w:autoSpaceDN w:val="0"/>
      <w:adjustRightInd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rPr>
      <w:rFonts w:asciiTheme="minorHAnsi" w:hAnsiTheme="minorHAnsi" w:cs="Times New Roman"/>
    </w:rPr>
  </w:style>
  <w:style w:type="character" w:styleId="Hipercze">
    <w:name w:val="Hyperlink"/>
    <w:basedOn w:val="Domylnaczcionkaakapitu"/>
    <w:uiPriority w:val="99"/>
    <w:rPr>
      <w:rFonts w:asciiTheme="minorHAnsi" w:hAnsiTheme="minorHAnsi" w:cs="Times New Roman"/>
      <w:color w:val="0000FF"/>
      <w:u w:val="single"/>
    </w:rPr>
  </w:style>
  <w:style w:type="table" w:styleId="Tabela-Prosty1">
    <w:name w:val="Table Simple 1"/>
    <w:basedOn w:val="Standardowy"/>
    <w:uiPriority w:val="99"/>
    <w:pPr>
      <w:widowControl w:val="0"/>
      <w:autoSpaceDE w:val="0"/>
      <w:autoSpaceDN w:val="0"/>
      <w:adjustRightInd w:val="0"/>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agwek">
    <w:name w:val="header"/>
    <w:basedOn w:val="Normalny"/>
    <w:link w:val="NagwekZnak"/>
    <w:uiPriority w:val="99"/>
    <w:unhideWhenUsed/>
    <w:rsid w:val="00FB1906"/>
    <w:pPr>
      <w:tabs>
        <w:tab w:val="center" w:pos="4536"/>
        <w:tab w:val="right" w:pos="9072"/>
      </w:tabs>
    </w:pPr>
  </w:style>
  <w:style w:type="character" w:customStyle="1" w:styleId="NagwekZnak">
    <w:name w:val="Nagłówek Znak"/>
    <w:basedOn w:val="Domylnaczcionkaakapitu"/>
    <w:link w:val="Nagwek"/>
    <w:uiPriority w:val="99"/>
    <w:locked/>
    <w:rsid w:val="00FB1906"/>
    <w:rPr>
      <w:rFonts w:cs="Times New Roman"/>
      <w:sz w:val="24"/>
    </w:rPr>
  </w:style>
  <w:style w:type="paragraph" w:styleId="Stopka">
    <w:name w:val="footer"/>
    <w:basedOn w:val="Normalny"/>
    <w:link w:val="StopkaZnak"/>
    <w:uiPriority w:val="99"/>
    <w:unhideWhenUsed/>
    <w:rsid w:val="00FB1906"/>
    <w:pPr>
      <w:tabs>
        <w:tab w:val="center" w:pos="4536"/>
        <w:tab w:val="right" w:pos="9072"/>
      </w:tabs>
    </w:pPr>
  </w:style>
  <w:style w:type="character" w:customStyle="1" w:styleId="StopkaZnak">
    <w:name w:val="Stopka Znak"/>
    <w:basedOn w:val="Domylnaczcionkaakapitu"/>
    <w:link w:val="Stopka"/>
    <w:uiPriority w:val="99"/>
    <w:locked/>
    <w:rsid w:val="00FB1906"/>
    <w:rPr>
      <w:rFonts w:cs="Times New Roman"/>
      <w:sz w:val="24"/>
    </w:rPr>
  </w:style>
  <w:style w:type="paragraph" w:styleId="Tekstdymka">
    <w:name w:val="Balloon Text"/>
    <w:basedOn w:val="Normalny"/>
    <w:link w:val="TekstdymkaZnak"/>
    <w:uiPriority w:val="99"/>
    <w:semiHidden/>
    <w:unhideWhenUsed/>
    <w:rsid w:val="008307FE"/>
    <w:rPr>
      <w:rFonts w:ascii="Tahoma" w:hAnsi="Tahoma" w:cs="Tahoma"/>
      <w:sz w:val="16"/>
      <w:szCs w:val="16"/>
    </w:rPr>
  </w:style>
  <w:style w:type="character" w:customStyle="1" w:styleId="TekstdymkaZnak">
    <w:name w:val="Tekst dymka Znak"/>
    <w:basedOn w:val="Domylnaczcionkaakapitu"/>
    <w:link w:val="Tekstdymka"/>
    <w:uiPriority w:val="99"/>
    <w:semiHidden/>
    <w:rsid w:val="00830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3321">
      <w:bodyDiv w:val="1"/>
      <w:marLeft w:val="0"/>
      <w:marRight w:val="0"/>
      <w:marTop w:val="0"/>
      <w:marBottom w:val="0"/>
      <w:divBdr>
        <w:top w:val="none" w:sz="0" w:space="0" w:color="auto"/>
        <w:left w:val="none" w:sz="0" w:space="0" w:color="auto"/>
        <w:bottom w:val="none" w:sz="0" w:space="0" w:color="auto"/>
        <w:right w:val="none" w:sz="0" w:space="0" w:color="auto"/>
      </w:divBdr>
    </w:div>
    <w:div w:id="1210722923">
      <w:marLeft w:val="0"/>
      <w:marRight w:val="0"/>
      <w:marTop w:val="0"/>
      <w:marBottom w:val="0"/>
      <w:divBdr>
        <w:top w:val="none" w:sz="0" w:space="0" w:color="auto"/>
        <w:left w:val="none" w:sz="0" w:space="0" w:color="auto"/>
        <w:bottom w:val="none" w:sz="0" w:space="0" w:color="auto"/>
        <w:right w:val="none" w:sz="0" w:space="0" w:color="auto"/>
      </w:divBdr>
    </w:div>
    <w:div w:id="1210722924">
      <w:marLeft w:val="0"/>
      <w:marRight w:val="0"/>
      <w:marTop w:val="0"/>
      <w:marBottom w:val="0"/>
      <w:divBdr>
        <w:top w:val="none" w:sz="0" w:space="0" w:color="auto"/>
        <w:left w:val="none" w:sz="0" w:space="0" w:color="auto"/>
        <w:bottom w:val="none" w:sz="0" w:space="0" w:color="auto"/>
        <w:right w:val="none" w:sz="0" w:space="0" w:color="auto"/>
      </w:divBdr>
    </w:div>
    <w:div w:id="1210722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Zadłużenie!$B$2</c:f>
              <c:strCache>
                <c:ptCount val="1"/>
                <c:pt idx="0">
                  <c:v>Faktyczna obsługa zadłużenia</c:v>
                </c:pt>
              </c:strCache>
            </c:strRef>
          </c:tx>
          <c:spPr>
            <a:solidFill>
              <a:srgbClr val="5B9BD5"/>
            </a:solidFill>
            <a:ln w="25366">
              <a:noFill/>
            </a:ln>
          </c:spPr>
          <c:invertIfNegative val="0"/>
          <c:cat>
            <c:strRef>
              <c:f>Zadłużenie!$C$1:$T$1</c:f>
              <c:strCache>
                <c:ptCount val="18"/>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strCache>
            </c:strRef>
          </c:cat>
          <c:val>
            <c:numRef>
              <c:f>Zadłużenie!$C$2:$T$2</c:f>
              <c:numCache>
                <c:formatCode>0.00%</c:formatCode>
                <c:ptCount val="18"/>
                <c:pt idx="0">
                  <c:v>4.1496427811376697E-2</c:v>
                </c:pt>
                <c:pt idx="1">
                  <c:v>4.5883146680426298E-2</c:v>
                </c:pt>
                <c:pt idx="2">
                  <c:v>4.6249455971299702E-2</c:v>
                </c:pt>
                <c:pt idx="3">
                  <c:v>4.4532070324821101E-2</c:v>
                </c:pt>
                <c:pt idx="4">
                  <c:v>3.5663964085630398E-2</c:v>
                </c:pt>
                <c:pt idx="5">
                  <c:v>3.2137363889369802E-2</c:v>
                </c:pt>
                <c:pt idx="6">
                  <c:v>2.4406977316185598E-2</c:v>
                </c:pt>
                <c:pt idx="7">
                  <c:v>2.3202822524708101E-2</c:v>
                </c:pt>
                <c:pt idx="8">
                  <c:v>2.01573796654251E-2</c:v>
                </c:pt>
                <c:pt idx="9">
                  <c:v>9.0777029739428708E-3</c:v>
                </c:pt>
                <c:pt idx="10">
                  <c:v>8.5028824588431907E-3</c:v>
                </c:pt>
                <c:pt idx="11">
                  <c:v>7.8775351217008193E-3</c:v>
                </c:pt>
                <c:pt idx="12">
                  <c:v>7.1868894344131297E-3</c:v>
                </c:pt>
                <c:pt idx="13">
                  <c:v>6.5316199147090297E-3</c:v>
                </c:pt>
                <c:pt idx="14">
                  <c:v>5.99512557405916E-3</c:v>
                </c:pt>
                <c:pt idx="15">
                  <c:v>5.5691954963146403E-3</c:v>
                </c:pt>
                <c:pt idx="16">
                  <c:v>5.1588248688325703E-3</c:v>
                </c:pt>
                <c:pt idx="17">
                  <c:v>4.7506012119393403E-3</c:v>
                </c:pt>
              </c:numCache>
            </c:numRef>
          </c:val>
        </c:ser>
        <c:ser>
          <c:idx val="1"/>
          <c:order val="1"/>
          <c:tx>
            <c:strRef>
              <c:f>Zadłużenie!$B$3</c:f>
              <c:strCache>
                <c:ptCount val="1"/>
                <c:pt idx="0">
                  <c:v>Planowana obsługa zadłużenia</c:v>
                </c:pt>
              </c:strCache>
            </c:strRef>
          </c:tx>
          <c:spPr>
            <a:pattFill prst="dkUpDiag">
              <a:fgClr>
                <a:srgbClr val="92D050"/>
              </a:fgClr>
              <a:bgClr>
                <a:srgbClr val="FFFFFF"/>
              </a:bgClr>
            </a:pattFill>
            <a:ln w="25366">
              <a:noFill/>
            </a:ln>
          </c:spPr>
          <c:invertIfNegative val="0"/>
          <c:cat>
            <c:strRef>
              <c:f>Zadłużenie!$C$1:$T$1</c:f>
              <c:strCache>
                <c:ptCount val="18"/>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strCache>
            </c:strRef>
          </c:cat>
          <c:val>
            <c:numRef>
              <c:f>Zadłużenie!$C$3:$T$3</c:f>
              <c:numCache>
                <c:formatCode>0.00%</c:formatCode>
                <c:ptCount val="18"/>
                <c:pt idx="0">
                  <c:v>0</c:v>
                </c:pt>
                <c:pt idx="1">
                  <c:v>0</c:v>
                </c:pt>
                <c:pt idx="2">
                  <c:v>0</c:v>
                </c:pt>
                <c:pt idx="3">
                  <c:v>0</c:v>
                </c:pt>
                <c:pt idx="4">
                  <c:v>0</c:v>
                </c:pt>
                <c:pt idx="5">
                  <c:v>0</c:v>
                </c:pt>
                <c:pt idx="6">
                  <c:v>0</c:v>
                </c:pt>
                <c:pt idx="7">
                  <c:v>0</c:v>
                </c:pt>
                <c:pt idx="8">
                  <c:v>0</c:v>
                </c:pt>
                <c:pt idx="9">
                  <c:v>0</c:v>
                </c:pt>
                <c:pt idx="10">
                  <c:v>0</c:v>
                </c:pt>
                <c:pt idx="11">
                  <c:v>6.5708220282340302E-3</c:v>
                </c:pt>
                <c:pt idx="12">
                  <c:v>6.4105580352306303E-3</c:v>
                </c:pt>
                <c:pt idx="13">
                  <c:v>6.2603105750092796E-3</c:v>
                </c:pt>
                <c:pt idx="14">
                  <c:v>6.1195607217757499E-3</c:v>
                </c:pt>
                <c:pt idx="15">
                  <c:v>5.9878285409248602E-3</c:v>
                </c:pt>
                <c:pt idx="16">
                  <c:v>5.8589321013514601E-3</c:v>
                </c:pt>
                <c:pt idx="17">
                  <c:v>7.0003049054847503E-3</c:v>
                </c:pt>
              </c:numCache>
            </c:numRef>
          </c:val>
        </c:ser>
        <c:dLbls>
          <c:showLegendKey val="0"/>
          <c:showVal val="0"/>
          <c:showCatName val="0"/>
          <c:showSerName val="0"/>
          <c:showPercent val="0"/>
          <c:showBubbleSize val="0"/>
        </c:dLbls>
        <c:gapWidth val="219"/>
        <c:overlap val="100"/>
        <c:axId val="184082432"/>
        <c:axId val="184270848"/>
      </c:barChart>
      <c:lineChart>
        <c:grouping val="standard"/>
        <c:varyColors val="0"/>
        <c:ser>
          <c:idx val="2"/>
          <c:order val="2"/>
          <c:tx>
            <c:strRef>
              <c:f>Zadłużenie!$B$8</c:f>
              <c:strCache>
                <c:ptCount val="1"/>
                <c:pt idx="0">
                  <c:v>Obsługa zadłużenia (fakt. i plan. po wyłączeniach)</c:v>
                </c:pt>
              </c:strCache>
            </c:strRef>
          </c:tx>
          <c:spPr>
            <a:ln w="28537" cap="rnd">
              <a:solidFill>
                <a:srgbClr val="00B050"/>
              </a:solidFill>
              <a:round/>
            </a:ln>
            <a:effectLst/>
          </c:spPr>
          <c:marker>
            <c:symbol val="none"/>
          </c:marker>
          <c:cat>
            <c:strRef>
              <c:f>Zadłużenie!$C$1:$T$1</c:f>
              <c:strCache>
                <c:ptCount val="18"/>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strCache>
            </c:strRef>
          </c:cat>
          <c:val>
            <c:numRef>
              <c:f>Zadłużenie!$C$8:$T$8</c:f>
              <c:numCache>
                <c:formatCode>0.00%</c:formatCode>
                <c:ptCount val="18"/>
                <c:pt idx="0">
                  <c:v>4.1496427811376697E-2</c:v>
                </c:pt>
                <c:pt idx="1">
                  <c:v>4.5883146680426298E-2</c:v>
                </c:pt>
                <c:pt idx="2">
                  <c:v>4.6249455971299702E-2</c:v>
                </c:pt>
                <c:pt idx="3">
                  <c:v>4.4532070324821101E-2</c:v>
                </c:pt>
                <c:pt idx="4">
                  <c:v>3.5663964085630398E-2</c:v>
                </c:pt>
                <c:pt idx="5">
                  <c:v>3.2137363889369802E-2</c:v>
                </c:pt>
                <c:pt idx="6">
                  <c:v>2.4406977316185598E-2</c:v>
                </c:pt>
                <c:pt idx="7">
                  <c:v>2.3202822524708101E-2</c:v>
                </c:pt>
                <c:pt idx="8">
                  <c:v>2.01573796654251E-2</c:v>
                </c:pt>
                <c:pt idx="9">
                  <c:v>9.0777029739428708E-3</c:v>
                </c:pt>
                <c:pt idx="10">
                  <c:v>8.5028824588431907E-3</c:v>
                </c:pt>
                <c:pt idx="11">
                  <c:v>1.44483571499349E-2</c:v>
                </c:pt>
                <c:pt idx="12">
                  <c:v>1.35974474696438E-2</c:v>
                </c:pt>
                <c:pt idx="13">
                  <c:v>1.2791930489718301E-2</c:v>
                </c:pt>
                <c:pt idx="14">
                  <c:v>1.2114686295834899E-2</c:v>
                </c:pt>
                <c:pt idx="15">
                  <c:v>1.15570240372395E-2</c:v>
                </c:pt>
                <c:pt idx="16">
                  <c:v>1.1017756970183999E-2</c:v>
                </c:pt>
                <c:pt idx="17">
                  <c:v>1.17509061174241E-2</c:v>
                </c:pt>
              </c:numCache>
            </c:numRef>
          </c:val>
          <c:smooth val="0"/>
        </c:ser>
        <c:ser>
          <c:idx val="3"/>
          <c:order val="3"/>
          <c:tx>
            <c:strRef>
              <c:f>Zadłużenie!$B$9</c:f>
              <c:strCache>
                <c:ptCount val="1"/>
                <c:pt idx="0">
                  <c:v>Maksymalna obsługa zadłużenia</c:v>
                </c:pt>
              </c:strCache>
            </c:strRef>
          </c:tx>
          <c:spPr>
            <a:ln w="25366">
              <a:solidFill>
                <a:srgbClr val="FF0000"/>
              </a:solidFill>
              <a:prstDash val="sysDash"/>
            </a:ln>
          </c:spPr>
          <c:marker>
            <c:symbol val="none"/>
          </c:marker>
          <c:cat>
            <c:strRef>
              <c:f>Zadłużenie!$C$1:$T$1</c:f>
              <c:strCache>
                <c:ptCount val="18"/>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strCache>
            </c:strRef>
          </c:cat>
          <c:val>
            <c:numRef>
              <c:f>Zadłużenie!$C$9:$T$9</c:f>
              <c:numCache>
                <c:formatCode>0.00%</c:formatCode>
                <c:ptCount val="18"/>
                <c:pt idx="0">
                  <c:v>9.3600000000000003E-2</c:v>
                </c:pt>
                <c:pt idx="1">
                  <c:v>6.7599999999999993E-2</c:v>
                </c:pt>
                <c:pt idx="2">
                  <c:v>6.4299999999999996E-2</c:v>
                </c:pt>
                <c:pt idx="3">
                  <c:v>6.25E-2</c:v>
                </c:pt>
                <c:pt idx="4">
                  <c:v>7.5600000000000001E-2</c:v>
                </c:pt>
                <c:pt idx="5">
                  <c:v>8.5300000000000001E-2</c:v>
                </c:pt>
                <c:pt idx="6">
                  <c:v>7.1099999999999997E-2</c:v>
                </c:pt>
                <c:pt idx="7">
                  <c:v>8.0600000000000005E-2</c:v>
                </c:pt>
                <c:pt idx="8">
                  <c:v>9.5799999999999996E-2</c:v>
                </c:pt>
                <c:pt idx="9">
                  <c:v>0.1047</c:v>
                </c:pt>
                <c:pt idx="10">
                  <c:v>0.1137</c:v>
                </c:pt>
                <c:pt idx="11">
                  <c:v>0.1203</c:v>
                </c:pt>
                <c:pt idx="12">
                  <c:v>0.1246</c:v>
                </c:pt>
                <c:pt idx="13">
                  <c:v>0.12790000000000001</c:v>
                </c:pt>
                <c:pt idx="14">
                  <c:v>0.13</c:v>
                </c:pt>
                <c:pt idx="15">
                  <c:v>0.13089999999999999</c:v>
                </c:pt>
                <c:pt idx="16">
                  <c:v>0.13070000000000001</c:v>
                </c:pt>
                <c:pt idx="17">
                  <c:v>0.12959999999999999</c:v>
                </c:pt>
              </c:numCache>
            </c:numRef>
          </c:val>
          <c:smooth val="0"/>
        </c:ser>
        <c:dLbls>
          <c:showLegendKey val="0"/>
          <c:showVal val="0"/>
          <c:showCatName val="0"/>
          <c:showSerName val="0"/>
          <c:showPercent val="0"/>
          <c:showBubbleSize val="0"/>
        </c:dLbls>
        <c:marker val="1"/>
        <c:smooth val="0"/>
        <c:axId val="184082432"/>
        <c:axId val="184270848"/>
      </c:lineChart>
      <c:catAx>
        <c:axId val="184082432"/>
        <c:scaling>
          <c:orientation val="minMax"/>
        </c:scaling>
        <c:delete val="0"/>
        <c:axPos val="b"/>
        <c:numFmt formatCode="General" sourceLinked="1"/>
        <c:majorTickMark val="none"/>
        <c:minorTickMark val="none"/>
        <c:tickLblPos val="nextTo"/>
        <c:spPr>
          <a:noFill/>
          <a:ln w="9513" cap="flat" cmpd="sng" algn="ctr">
            <a:solidFill>
              <a:schemeClr val="tx1">
                <a:lumMod val="15000"/>
                <a:lumOff val="85000"/>
              </a:schemeClr>
            </a:solidFill>
            <a:round/>
          </a:ln>
          <a:effectLst/>
        </c:spPr>
        <c:txPr>
          <a:bodyPr rot="0" vert="horz"/>
          <a:lstStyle/>
          <a:p>
            <a:pPr>
              <a:defRPr sz="899" b="0" i="0" u="none" strike="noStrike" baseline="0">
                <a:solidFill>
                  <a:srgbClr val="333333"/>
                </a:solidFill>
                <a:latin typeface="Calibri"/>
                <a:ea typeface="Calibri"/>
                <a:cs typeface="Calibri"/>
              </a:defRPr>
            </a:pPr>
            <a:endParaRPr lang="pl-PL"/>
          </a:p>
        </c:txPr>
        <c:crossAx val="184270848"/>
        <c:crosses val="autoZero"/>
        <c:auto val="1"/>
        <c:lblAlgn val="ctr"/>
        <c:lblOffset val="100"/>
        <c:noMultiLvlLbl val="0"/>
      </c:catAx>
      <c:valAx>
        <c:axId val="184270848"/>
        <c:scaling>
          <c:orientation val="minMax"/>
        </c:scaling>
        <c:delete val="0"/>
        <c:axPos val="l"/>
        <c:majorGridlines>
          <c:spPr>
            <a:ln w="9513" cap="flat" cmpd="sng" algn="ctr">
              <a:solidFill>
                <a:schemeClr val="tx1">
                  <a:lumMod val="15000"/>
                  <a:lumOff val="85000"/>
                </a:schemeClr>
              </a:solidFill>
              <a:round/>
            </a:ln>
            <a:effectLst/>
          </c:spPr>
        </c:majorGridlines>
        <c:numFmt formatCode="0.00%" sourceLinked="1"/>
        <c:majorTickMark val="none"/>
        <c:minorTickMark val="none"/>
        <c:tickLblPos val="nextTo"/>
        <c:spPr>
          <a:ln w="6342">
            <a:noFill/>
          </a:ln>
        </c:spPr>
        <c:txPr>
          <a:bodyPr rot="0" vert="horz"/>
          <a:lstStyle/>
          <a:p>
            <a:pPr>
              <a:defRPr sz="899" b="0" i="0" u="none" strike="noStrike" baseline="0">
                <a:solidFill>
                  <a:srgbClr val="333333"/>
                </a:solidFill>
                <a:latin typeface="Calibri"/>
                <a:ea typeface="Calibri"/>
                <a:cs typeface="Calibri"/>
              </a:defRPr>
            </a:pPr>
            <a:endParaRPr lang="pl-PL"/>
          </a:p>
        </c:txPr>
        <c:crossAx val="184082432"/>
        <c:crosses val="autoZero"/>
        <c:crossBetween val="between"/>
      </c:valAx>
      <c:spPr>
        <a:noFill/>
        <a:ln w="25383">
          <a:noFill/>
        </a:ln>
      </c:spPr>
    </c:plotArea>
    <c:legend>
      <c:legendPos val="b"/>
      <c:overlay val="0"/>
      <c:spPr>
        <a:noFill/>
        <a:ln w="25366">
          <a:noFill/>
        </a:ln>
      </c:spPr>
      <c:txPr>
        <a:bodyPr/>
        <a:lstStyle/>
        <a:p>
          <a:pPr>
            <a:defRPr sz="823" b="0" i="0" u="none" strike="noStrike" baseline="0">
              <a:solidFill>
                <a:srgbClr val="333333"/>
              </a:solidFill>
              <a:latin typeface="Calibri"/>
              <a:ea typeface="Calibri"/>
              <a:cs typeface="Calibri"/>
            </a:defRPr>
          </a:pPr>
          <a:endParaRPr lang="pl-PL"/>
        </a:p>
      </c:txPr>
    </c:legend>
    <c:plotVisOnly val="1"/>
    <c:dispBlanksAs val="gap"/>
    <c:showDLblsOverMax val="0"/>
  </c:chart>
  <c:spPr>
    <a:solidFill>
      <a:schemeClr val="bg1"/>
    </a:solidFill>
    <a:ln>
      <a:noFill/>
    </a:ln>
    <a:effectLst/>
  </c:spPr>
  <c:txPr>
    <a:bodyPr/>
    <a:lstStyle/>
    <a:p>
      <a:pPr>
        <a:defRPr sz="999" b="0" i="0" u="none" strike="noStrike" baseline="0">
          <a:solidFill>
            <a:srgbClr val="000000"/>
          </a:solidFill>
          <a:latin typeface="Calibri"/>
          <a:ea typeface="Calibri"/>
          <a:cs typeface="Calibri"/>
        </a:defRPr>
      </a:pPr>
      <a:endParaRPr lang="pl-PL"/>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TotalTime>
  <Pages>1</Pages>
  <Words>3000</Words>
  <Characters>18005</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Pacholak</dc:creator>
  <cp:lastModifiedBy>mkachlicka</cp:lastModifiedBy>
  <cp:revision>10</cp:revision>
  <cp:lastPrinted>2020-09-30T04:43:00Z</cp:lastPrinted>
  <dcterms:created xsi:type="dcterms:W3CDTF">2020-09-28T07:10:00Z</dcterms:created>
  <dcterms:modified xsi:type="dcterms:W3CDTF">2020-09-30T04:53:00Z</dcterms:modified>
</cp:coreProperties>
</file>