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center"/>
        <w:rPr>
          <w:rFonts w:ascii="Arial" w:hAnsi="Arial" w:cs="Arial"/>
          <w:sz w:val="20"/>
          <w:szCs w:val="20"/>
        </w:rPr>
      </w:pPr>
      <w:r w:rsidRPr="004F7163">
        <w:rPr>
          <w:rFonts w:ascii="Arial" w:hAnsi="Arial" w:cs="Arial"/>
          <w:b/>
          <w:bCs/>
          <w:sz w:val="20"/>
          <w:szCs w:val="20"/>
        </w:rPr>
        <w:t>UZASADNIENIE</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center"/>
        <w:rPr>
          <w:rFonts w:ascii="Arial" w:hAnsi="Arial" w:cs="Arial"/>
          <w:sz w:val="20"/>
          <w:szCs w:val="20"/>
        </w:rPr>
      </w:pPr>
      <w:r w:rsidRPr="004F7163">
        <w:rPr>
          <w:rFonts w:ascii="Arial" w:hAnsi="Arial" w:cs="Arial"/>
          <w:b/>
          <w:bCs/>
          <w:sz w:val="20"/>
          <w:szCs w:val="20"/>
        </w:rPr>
        <w:t>Objaśnienia przyjętych wartości do Wieloletniej Prognozy Finansowej Gminy Rogoźno na lata 2020-2037.</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Obowiązek sporządzenia Wieloletniej Prognozy Finansowej jest jedną z zasadniczych zmian wprowadzonych ustawą z dnia 27 sierpnia 2009 roku odnoszących się do zagadnień gospodarki finansowej jednostek samorządu terytorialnego. Regulacja ta stwarza możliwość kompleksowej analizy sytuacji finansowej jednostki oraz możliwość oceny podejmowanych przedsięwzięć z perspektywy ich znaczenia dla samorządu. W zamyśle prawodawcy wieloletnia prognoza finansowa jednostki samorządu terytorialnego ma być instrumentem nowoczesnego zarządzania finansami publicznymi.</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W Wieloletniej Prognozie Finansowej Gminy Rogoźno zastosowano wzory załączników (załącznik nr 1 oraz załącznik nr 2 do uchwały) zgodnie z Rozporządzeniem Ministra Finansów z dnia 10 stycznia 2013 roku w sprawie wieloletniej prognozy finansowej jednostki samorządu terytorialnego (Dz. U. z 2015 r. poz. 92) z uwzględnieniem zmian wynikających z Rozporządzenia Ministra Finansów, Inwestycji i Rozwoju z dnia 1 października 2019 r. zmieniającego rozporządzenie w sprawie wieloletniej prognozy finansowej jednostki samorządu terytorialnego (Dz. U. z 2019 r. poz. 1903).</w:t>
      </w:r>
    </w:p>
    <w:p w:rsidR="004F7163" w:rsidRPr="004F7163" w:rsidRDefault="004F7163" w:rsidP="004F7163">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40" w:line="240" w:lineRule="auto"/>
        <w:jc w:val="both"/>
        <w:rPr>
          <w:rFonts w:ascii="Arial" w:hAnsi="Arial" w:cs="Arial"/>
          <w:b/>
          <w:bCs/>
          <w:sz w:val="20"/>
          <w:szCs w:val="20"/>
        </w:rPr>
      </w:pPr>
      <w:r w:rsidRPr="004F7163">
        <w:rPr>
          <w:rFonts w:ascii="Arial" w:hAnsi="Arial" w:cs="Arial"/>
          <w:b/>
          <w:bCs/>
          <w:sz w:val="20"/>
          <w:szCs w:val="20"/>
        </w:rPr>
        <w:t>Dane historyczne</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Podstawą opracowania Wieloletniej Prognozy Finansowej Gminy Rogoźno jest projekt uchwały budżetowej na 2020 rok, dane sprawozdawcze z wykonania budżetu Gminy Rogoźno za lata 2017 i 2018, wartości planowane na koniec III kwartału 2019 roku oraz wytyczne Ministra Finansów, Inwestycji i Rozwoju dotyczące założeń makroekonomicznych dla potrzeb sporządzania wieloletnich prognoz finansowych jednostek samorządu terytorialnego oraz inne informacje mogące mieć wpływ na przyjęte wielkości w poszczególnych latach.</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Art. 227 ust. 1 ustawy z dnia 27 sierpnia 2009 roku o finansach publicznych (</w:t>
      </w:r>
      <w:proofErr w:type="spellStart"/>
      <w:r w:rsidRPr="004F7163">
        <w:rPr>
          <w:rFonts w:ascii="Arial" w:hAnsi="Arial" w:cs="Arial"/>
          <w:sz w:val="20"/>
          <w:szCs w:val="20"/>
        </w:rPr>
        <w:t>t.j</w:t>
      </w:r>
      <w:proofErr w:type="spellEnd"/>
      <w:r w:rsidRPr="004F7163">
        <w:rPr>
          <w:rFonts w:ascii="Arial" w:hAnsi="Arial" w:cs="Arial"/>
          <w:sz w:val="20"/>
          <w:szCs w:val="20"/>
        </w:rPr>
        <w:t>. Dz. U. z 2019 r. poz. 869 z </w:t>
      </w:r>
      <w:proofErr w:type="spellStart"/>
      <w:r w:rsidRPr="004F7163">
        <w:rPr>
          <w:rFonts w:ascii="Arial" w:hAnsi="Arial" w:cs="Arial"/>
          <w:sz w:val="20"/>
          <w:szCs w:val="20"/>
        </w:rPr>
        <w:t>późn</w:t>
      </w:r>
      <w:proofErr w:type="spellEnd"/>
      <w:r w:rsidRPr="004F7163">
        <w:rPr>
          <w:rFonts w:ascii="Arial" w:hAnsi="Arial" w:cs="Arial"/>
          <w:sz w:val="20"/>
          <w:szCs w:val="20"/>
        </w:rPr>
        <w:t>. zm.) zakłada, iż wieloletnia prognoza finansowa obejmuje okres roku budżetowego oraz co najmniej trzech kolejnych lat budżetowych. Z ust. 2 powołanego artykułu wynika, iż prognozę kwoty długu, stanowiącą integralną część wieloletniej prognozy finansowej, sporządza się na okres, na który zaciągnięto lub planuje się zaciągnąć zobowiązanie. Na dzień podjęcia uchwały, spłatę zobowiązań przewiduje się do roku 2037. W związku z powyższym, Wieloletnia Prognoza Finansowa Gminy Rogoźno została przygotowana na lata 2020-2037.</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Kwoty wydatków wynikające z limitów wydatków na przedsięwzięcia nie wykraczają poza okres prognozy kwoty długu. Nie planuje się także wydatków z tytułu niewymagalnych poręczeń i gwarancji, które przekraczałyby okres prognozy kwoty długu.</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b/>
          <w:bCs/>
          <w:sz w:val="20"/>
          <w:szCs w:val="20"/>
        </w:rPr>
        <w:t>2. Założenia makroekonomiczne</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Przy opracowaniu prognozy pozycji budżetowych Gminy Rogoźno wykorzystano dwa podstawowe mierniki koniunktury gospodarczej – produkt krajowy brutto (PKB) oraz wskaźnik inflacji (CPI). Na ich podstawie oszacowano wartości dochodów i wydatków Gminy Rogoźno, co, dzięki konstrukcji i zaawansowanym metodom dokonywania obliczeń, pozwoli realizować w przyszłości właściwą politykę finansową jednostki.</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Zgodnie z zaleceniami Ministra właściwego ds. finansów, prognozę wskazanych pozycji oparto o Wytyczne dotyczące stosowania jednolitych wskaźników makroekonomicznych będących podstawą oszacowania skutków finansowych projektowanych ustaw. Ostatnia dostępna aktualizacja ww. wytycznych miała miejsce 28 października 2019 r., a dane wynikające z powołanego dokumentu prezentuje tabela 1.</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4F7163">
        <w:rPr>
          <w:rFonts w:ascii="Arial" w:hAnsi="Arial" w:cs="Arial"/>
          <w:b/>
          <w:bCs/>
          <w:sz w:val="20"/>
          <w:szCs w:val="20"/>
        </w:rPr>
        <w:lastRenderedPageBreak/>
        <w:t>Tabela 1. Dane makroekonomiczne przyjęte do wyliczeń prognozy</w:t>
      </w:r>
    </w:p>
    <w:tbl>
      <w:tblPr>
        <w:tblW w:w="0" w:type="auto"/>
        <w:tblInd w:w="10" w:type="dxa"/>
        <w:tblLayout w:type="fixed"/>
        <w:tblCellMar>
          <w:left w:w="10" w:type="dxa"/>
          <w:right w:w="10" w:type="dxa"/>
        </w:tblCellMar>
        <w:tblLook w:val="0000" w:firstRow="0" w:lastRow="0" w:firstColumn="0" w:lastColumn="0" w:noHBand="0" w:noVBand="0"/>
      </w:tblPr>
      <w:tblGrid>
        <w:gridCol w:w="1070"/>
        <w:gridCol w:w="1070"/>
        <w:gridCol w:w="1070"/>
        <w:gridCol w:w="1070"/>
        <w:gridCol w:w="1070"/>
        <w:gridCol w:w="1070"/>
        <w:gridCol w:w="1070"/>
        <w:gridCol w:w="1070"/>
      </w:tblGrid>
      <w:tr w:rsidR="004F7163" w:rsidRPr="004F7163">
        <w:tc>
          <w:tcPr>
            <w:tcW w:w="1070"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Wskaźnik</w:t>
            </w:r>
          </w:p>
        </w:tc>
        <w:tc>
          <w:tcPr>
            <w:tcW w:w="1070"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2020</w:t>
            </w:r>
          </w:p>
        </w:tc>
        <w:tc>
          <w:tcPr>
            <w:tcW w:w="1070"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2021</w:t>
            </w:r>
          </w:p>
        </w:tc>
        <w:tc>
          <w:tcPr>
            <w:tcW w:w="1070"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2022</w:t>
            </w:r>
          </w:p>
        </w:tc>
        <w:tc>
          <w:tcPr>
            <w:tcW w:w="1070"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2023</w:t>
            </w:r>
          </w:p>
        </w:tc>
        <w:tc>
          <w:tcPr>
            <w:tcW w:w="1070"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2024</w:t>
            </w:r>
          </w:p>
        </w:tc>
        <w:tc>
          <w:tcPr>
            <w:tcW w:w="1070"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2025</w:t>
            </w:r>
          </w:p>
        </w:tc>
        <w:tc>
          <w:tcPr>
            <w:tcW w:w="1070"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2026</w:t>
            </w:r>
          </w:p>
        </w:tc>
      </w:tr>
      <w:tr w:rsidR="004F7163" w:rsidRPr="004F7163">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b/>
                <w:bCs/>
                <w:sz w:val="20"/>
                <w:szCs w:val="20"/>
              </w:rPr>
              <w:t>PKB</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3,70%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3,40%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3,30%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3,10%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3,00%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3,00%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3,00%</w:t>
            </w:r>
          </w:p>
        </w:tc>
      </w:tr>
      <w:tr w:rsidR="004F7163" w:rsidRPr="004F7163">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b/>
                <w:bCs/>
                <w:sz w:val="20"/>
                <w:szCs w:val="20"/>
              </w:rPr>
              <w:t>Inflacja</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2,50%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2,50%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2,50%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2,50%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2,50%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2,50%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2,50%</w:t>
            </w:r>
          </w:p>
        </w:tc>
      </w:tr>
      <w:tr w:rsidR="004F7163" w:rsidRPr="004F7163">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b/>
                <w:bCs/>
                <w:sz w:val="20"/>
                <w:szCs w:val="20"/>
              </w:rPr>
              <w:t>Wynagrodzenia</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3,40%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3,20%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3,20%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3,20%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3,20%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3,20%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3,10%</w:t>
            </w:r>
          </w:p>
        </w:tc>
      </w:tr>
      <w:tr w:rsidR="004F7163" w:rsidRPr="004F7163">
        <w:tc>
          <w:tcPr>
            <w:tcW w:w="1070"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Wskaźnik</w:t>
            </w:r>
          </w:p>
        </w:tc>
        <w:tc>
          <w:tcPr>
            <w:tcW w:w="1070"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2027</w:t>
            </w:r>
          </w:p>
        </w:tc>
        <w:tc>
          <w:tcPr>
            <w:tcW w:w="1070"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2028</w:t>
            </w:r>
          </w:p>
        </w:tc>
        <w:tc>
          <w:tcPr>
            <w:tcW w:w="1070"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2029</w:t>
            </w:r>
          </w:p>
        </w:tc>
        <w:tc>
          <w:tcPr>
            <w:tcW w:w="1070"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2030</w:t>
            </w:r>
          </w:p>
        </w:tc>
        <w:tc>
          <w:tcPr>
            <w:tcW w:w="1070"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2031</w:t>
            </w:r>
          </w:p>
        </w:tc>
        <w:tc>
          <w:tcPr>
            <w:tcW w:w="1070"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2032</w:t>
            </w:r>
          </w:p>
        </w:tc>
        <w:tc>
          <w:tcPr>
            <w:tcW w:w="1070"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2033</w:t>
            </w:r>
          </w:p>
        </w:tc>
      </w:tr>
      <w:tr w:rsidR="004F7163" w:rsidRPr="004F7163">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b/>
                <w:bCs/>
                <w:sz w:val="20"/>
                <w:szCs w:val="20"/>
              </w:rPr>
              <w:t>PKB</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2,90%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2,80%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2,70%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2,70%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2,60%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2,50%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2,40%</w:t>
            </w:r>
          </w:p>
        </w:tc>
      </w:tr>
      <w:tr w:rsidR="004F7163" w:rsidRPr="004F7163">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b/>
                <w:bCs/>
                <w:sz w:val="20"/>
                <w:szCs w:val="20"/>
              </w:rPr>
              <w:t>Inflacja</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2,50%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2,50%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2,50%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2,50%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2,50%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2,50%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2,50%</w:t>
            </w:r>
          </w:p>
        </w:tc>
      </w:tr>
      <w:tr w:rsidR="004F7163" w:rsidRPr="004F7163">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b/>
                <w:bCs/>
                <w:sz w:val="20"/>
                <w:szCs w:val="20"/>
              </w:rPr>
              <w:t>Wynagrodzenia</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3,10%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3,10%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3,10%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3,00%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3,00%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3,00%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3,00%</w:t>
            </w:r>
          </w:p>
        </w:tc>
      </w:tr>
      <w:tr w:rsidR="004F7163" w:rsidRPr="004F7163">
        <w:tc>
          <w:tcPr>
            <w:tcW w:w="1070"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Wskaźnik</w:t>
            </w:r>
          </w:p>
        </w:tc>
        <w:tc>
          <w:tcPr>
            <w:tcW w:w="1070"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2034</w:t>
            </w:r>
          </w:p>
        </w:tc>
        <w:tc>
          <w:tcPr>
            <w:tcW w:w="1070"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2035</w:t>
            </w:r>
          </w:p>
        </w:tc>
        <w:tc>
          <w:tcPr>
            <w:tcW w:w="1070"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2036</w:t>
            </w:r>
          </w:p>
        </w:tc>
        <w:tc>
          <w:tcPr>
            <w:tcW w:w="1070"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2037</w:t>
            </w:r>
          </w:p>
        </w:tc>
        <w:tc>
          <w:tcPr>
            <w:tcW w:w="3210" w:type="dxa"/>
            <w:gridSpan w:val="3"/>
            <w:vMerge w:val="restart"/>
            <w:tcBorders>
              <w:top w:val="single" w:sz="4" w:space="0" w:color="auto"/>
              <w:left w:val="nil"/>
              <w:bottom w:val="single" w:sz="4" w:space="0" w:color="auto"/>
              <w:right w:val="nil"/>
            </w:tcBorders>
            <w:tcMar>
              <w:left w:w="0" w:type="dxa"/>
              <w:right w:w="0" w:type="dxa"/>
            </w:tcMar>
            <w:vAlign w:val="center"/>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r>
      <w:tr w:rsidR="004F7163" w:rsidRPr="004F7163">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b/>
                <w:bCs/>
                <w:sz w:val="20"/>
                <w:szCs w:val="20"/>
              </w:rPr>
              <w:t>PKB</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2,30%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2,20%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2,20%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2,10%</w:t>
            </w:r>
          </w:p>
        </w:tc>
        <w:tc>
          <w:tcPr>
            <w:tcW w:w="3210" w:type="dxa"/>
            <w:gridSpan w:val="3"/>
            <w:vMerge/>
            <w:tcBorders>
              <w:top w:val="nil"/>
              <w:left w:val="nil"/>
              <w:bottom w:val="single" w:sz="4" w:space="0" w:color="auto"/>
              <w:right w:val="nil"/>
            </w:tcBorders>
            <w:tcMar>
              <w:left w:w="0" w:type="dxa"/>
            </w:tcMar>
          </w:tcPr>
          <w:p w:rsidR="004F7163" w:rsidRPr="004F7163" w:rsidRDefault="004F7163" w:rsidP="004F7163">
            <w:pPr>
              <w:widowControl w:val="0"/>
              <w:autoSpaceDE w:val="0"/>
              <w:autoSpaceDN w:val="0"/>
              <w:adjustRightInd w:val="0"/>
              <w:spacing w:after="0" w:line="240" w:lineRule="auto"/>
              <w:rPr>
                <w:rFonts w:ascii="Arial" w:hAnsi="Arial" w:cs="Arial"/>
                <w:sz w:val="20"/>
                <w:szCs w:val="20"/>
              </w:rPr>
            </w:pPr>
          </w:p>
        </w:tc>
      </w:tr>
      <w:tr w:rsidR="004F7163" w:rsidRPr="004F7163">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b/>
                <w:bCs/>
                <w:sz w:val="20"/>
                <w:szCs w:val="20"/>
              </w:rPr>
              <w:t>Inflacja</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2,50%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2,50%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2,50%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2,50%</w:t>
            </w:r>
          </w:p>
        </w:tc>
        <w:tc>
          <w:tcPr>
            <w:tcW w:w="3210" w:type="dxa"/>
            <w:gridSpan w:val="3"/>
            <w:vMerge/>
            <w:tcBorders>
              <w:top w:val="nil"/>
              <w:left w:val="nil"/>
              <w:bottom w:val="single" w:sz="4" w:space="0" w:color="auto"/>
              <w:right w:val="nil"/>
            </w:tcBorders>
            <w:tcMar>
              <w:left w:w="0" w:type="dxa"/>
            </w:tcMar>
          </w:tcPr>
          <w:p w:rsidR="004F7163" w:rsidRPr="004F7163" w:rsidRDefault="004F7163" w:rsidP="004F7163">
            <w:pPr>
              <w:widowControl w:val="0"/>
              <w:autoSpaceDE w:val="0"/>
              <w:autoSpaceDN w:val="0"/>
              <w:adjustRightInd w:val="0"/>
              <w:spacing w:after="0" w:line="240" w:lineRule="auto"/>
              <w:rPr>
                <w:rFonts w:ascii="Arial" w:hAnsi="Arial" w:cs="Arial"/>
                <w:sz w:val="20"/>
                <w:szCs w:val="20"/>
              </w:rPr>
            </w:pPr>
          </w:p>
        </w:tc>
      </w:tr>
      <w:tr w:rsidR="004F7163" w:rsidRPr="004F7163">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b/>
                <w:bCs/>
                <w:sz w:val="20"/>
                <w:szCs w:val="20"/>
              </w:rPr>
              <w:t>Wynagrodzenia</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2,90%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2,90%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2,90%</w:t>
            </w:r>
          </w:p>
        </w:tc>
        <w:tc>
          <w:tcPr>
            <w:tcW w:w="107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2,90%</w:t>
            </w:r>
          </w:p>
        </w:tc>
        <w:tc>
          <w:tcPr>
            <w:tcW w:w="3210" w:type="dxa"/>
            <w:gridSpan w:val="3"/>
            <w:vMerge/>
            <w:tcBorders>
              <w:top w:val="nil"/>
              <w:left w:val="nil"/>
              <w:bottom w:val="single" w:sz="4" w:space="0" w:color="auto"/>
              <w:right w:val="nil"/>
            </w:tcBorders>
            <w:tcMar>
              <w:left w:w="0" w:type="dxa"/>
            </w:tcMar>
          </w:tcPr>
          <w:p w:rsidR="004F7163" w:rsidRPr="004F7163" w:rsidRDefault="004F7163" w:rsidP="004F7163">
            <w:pPr>
              <w:widowControl w:val="0"/>
              <w:autoSpaceDE w:val="0"/>
              <w:autoSpaceDN w:val="0"/>
              <w:adjustRightInd w:val="0"/>
              <w:spacing w:after="0" w:line="240" w:lineRule="auto"/>
              <w:rPr>
                <w:rFonts w:ascii="Arial" w:hAnsi="Arial" w:cs="Arial"/>
                <w:sz w:val="20"/>
                <w:szCs w:val="20"/>
              </w:rPr>
            </w:pPr>
          </w:p>
        </w:tc>
      </w:tr>
    </w:tbl>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Źródło: Wytyczne dotyczące stosowania jednolitych wskaźników makroekonomicznych będących podstawą oszacowania skutków finansowych projektowanych ustaw. Aktualizacja – 28 października 2019 r., (www.mf.gov.pl), Warszawa 2019.</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Zgodnie z przyjętym założeniem, dochody i wydatki bieżące w roku 2020 uwzględnione w WPF wynikają z wartości zawartych w projekcie budżetu na 2020 rok. Od 2021 roku dochody i wydatki bieżące ustalono za pomocą wskaźników inflacji, wskaźnika dynamiki PKB oraz wskaźnika dynamiki realnej wynagrodzeń brutto. W tym celu, posłużono się metodą indeksacji wartości bazowych o odpowiednio przypisany dla każdej kategorii budżetowej wskaźnik. Waga zmiennej makroekonomicznej oznacza w jakim stopniu dochody lub wydatki zależą od poziomu wskaźnika z danego roku. Indeksowana zostaje wartość na rok przyszły.</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b/>
          <w:bCs/>
          <w:sz w:val="20"/>
          <w:szCs w:val="20"/>
        </w:rPr>
      </w:pPr>
      <w:r w:rsidRPr="004F7163">
        <w:rPr>
          <w:rFonts w:ascii="Arial" w:hAnsi="Arial" w:cs="Arial"/>
          <w:b/>
          <w:bCs/>
          <w:sz w:val="20"/>
          <w:szCs w:val="20"/>
        </w:rPr>
        <w:t>3. Szczegółowe objaśnienia wartości przyjętych w Wieloletniej Prognozie Finansowej Gminy Rogoźno na lata 2020-2037</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b/>
          <w:bCs/>
          <w:sz w:val="20"/>
          <w:szCs w:val="20"/>
        </w:rPr>
      </w:pPr>
      <w:r w:rsidRPr="004F7163">
        <w:rPr>
          <w:rFonts w:ascii="Arial" w:hAnsi="Arial" w:cs="Arial"/>
          <w:b/>
          <w:bCs/>
          <w:sz w:val="20"/>
          <w:szCs w:val="20"/>
        </w:rPr>
        <w:t>3.1. Dochody</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Prognozując wielkości dochodów opierano się na analizie historycznej dochodów realizowanych w latach 2017-2018oraz dochodów planowanych do realizacji na 2019 rok, informacjach o zdarzeniach, które z dużym prawdopodobieństwem wpłyną na wielkości dochodów uzyskiwanych przez miasto w okresie objętym prognozą, a także na wskaźnikach ujętych w założeniach makroekonomicznych.</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Prognozy dochodów Gminy Rogoźno dokonano w podziałach merytorycznych, a następnie sklasyfikowano w podziały wymagane ustawowo. Podział merytoryczny został sporządzony za pomocą paragrafów klasyfikacji budżetowej i objął dochody bieżące i majątkowe.</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Dochody bieżące prognozowano w podziale na:</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40" w:lineRule="auto"/>
        <w:rPr>
          <w:rFonts w:ascii="Arial" w:hAnsi="Arial" w:cs="Arial"/>
          <w:sz w:val="20"/>
          <w:szCs w:val="20"/>
        </w:rPr>
      </w:pPr>
      <w:r w:rsidRPr="004F7163">
        <w:rPr>
          <w:rFonts w:ascii="Arial" w:hAnsi="Arial" w:cs="Arial"/>
          <w:sz w:val="20"/>
          <w:szCs w:val="20"/>
        </w:rPr>
        <w:tab/>
        <w:t>1. dochody z tytułu udziału we wpływach z podatku dochodowego od osób fizycznych;</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40" w:lineRule="auto"/>
        <w:rPr>
          <w:rFonts w:ascii="Arial" w:hAnsi="Arial" w:cs="Arial"/>
          <w:sz w:val="20"/>
          <w:szCs w:val="20"/>
        </w:rPr>
      </w:pPr>
      <w:r w:rsidRPr="004F7163">
        <w:rPr>
          <w:rFonts w:ascii="Arial" w:hAnsi="Arial" w:cs="Arial"/>
          <w:sz w:val="20"/>
          <w:szCs w:val="20"/>
        </w:rPr>
        <w:tab/>
        <w:t>2. dochody z tytułu udziału we wpływach z podatku dochodowego od osób prawnych;</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40" w:lineRule="auto"/>
        <w:rPr>
          <w:rFonts w:ascii="Arial" w:hAnsi="Arial" w:cs="Arial"/>
          <w:sz w:val="20"/>
          <w:szCs w:val="20"/>
        </w:rPr>
      </w:pPr>
      <w:r w:rsidRPr="004F7163">
        <w:rPr>
          <w:rFonts w:ascii="Arial" w:hAnsi="Arial" w:cs="Arial"/>
          <w:sz w:val="20"/>
          <w:szCs w:val="20"/>
        </w:rPr>
        <w:tab/>
        <w:t>3. subwencję ogólną;</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40" w:lineRule="auto"/>
        <w:rPr>
          <w:rFonts w:ascii="Arial" w:hAnsi="Arial" w:cs="Arial"/>
          <w:sz w:val="20"/>
          <w:szCs w:val="20"/>
        </w:rPr>
      </w:pPr>
      <w:r w:rsidRPr="004F7163">
        <w:rPr>
          <w:rFonts w:ascii="Arial" w:hAnsi="Arial" w:cs="Arial"/>
          <w:sz w:val="20"/>
          <w:szCs w:val="20"/>
        </w:rPr>
        <w:tab/>
        <w:t>4. dotacje i środki przeznaczone na cele bieżące;</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ab/>
        <w:t>5. pozostałe dochody (m. in.: podatki i opłaty lokalne, grzywny i kary pieniężne, wpływy z usług, odsetki od środków na rachunkach bankowych), w tym: z podatku od nieruchomości.</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Dochody majątkowe prognozowano w podziale na:</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40" w:lineRule="auto"/>
        <w:rPr>
          <w:rFonts w:ascii="Arial" w:hAnsi="Arial" w:cs="Arial"/>
          <w:sz w:val="20"/>
          <w:szCs w:val="20"/>
        </w:rPr>
      </w:pPr>
      <w:r w:rsidRPr="004F7163">
        <w:rPr>
          <w:rFonts w:ascii="Arial" w:hAnsi="Arial" w:cs="Arial"/>
          <w:sz w:val="20"/>
          <w:szCs w:val="20"/>
        </w:rPr>
        <w:lastRenderedPageBreak/>
        <w:tab/>
        <w:t>1. dochody ze sprzedaży majątku;</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ab/>
        <w:t>2. dotacje i środki przeznaczone na inwestycje;</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b/>
          <w:bCs/>
          <w:sz w:val="20"/>
          <w:szCs w:val="20"/>
        </w:rPr>
        <w:t>3.1.1 Dochody bieżące</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Uwzględniając dotychczasowe kształtowanie się dochodów budżetu Gminy Rogoźno oraz przewidywania na następne lata, w poszczególnych kategoriach dochodów bieżących posłużono się metodą indeksacji wartości bazowych o odpowiednio przypisany dla każdej kategorii budżetowej wskaźnik, za pomocą następujących wag:</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4F7163">
        <w:rPr>
          <w:rFonts w:ascii="Arial" w:hAnsi="Arial" w:cs="Arial"/>
          <w:b/>
          <w:bCs/>
          <w:sz w:val="20"/>
          <w:szCs w:val="20"/>
        </w:rPr>
        <w:t>Tabela 2. Wagi dla danych makroekonomicznych przyjęte do wyliczeń prognozy dochodów bieżących</w:t>
      </w:r>
    </w:p>
    <w:tbl>
      <w:tblPr>
        <w:tblW w:w="0" w:type="auto"/>
        <w:tblInd w:w="10" w:type="dxa"/>
        <w:tblLayout w:type="fixed"/>
        <w:tblCellMar>
          <w:left w:w="10" w:type="dxa"/>
          <w:right w:w="10" w:type="dxa"/>
        </w:tblCellMar>
        <w:tblLook w:val="0000" w:firstRow="0" w:lastRow="0" w:firstColumn="0" w:lastColumn="0" w:noHBand="0" w:noVBand="0"/>
      </w:tblPr>
      <w:tblGrid>
        <w:gridCol w:w="2853"/>
        <w:gridCol w:w="2853"/>
        <w:gridCol w:w="2853"/>
      </w:tblGrid>
      <w:tr w:rsidR="004F7163" w:rsidRPr="004F7163">
        <w:tc>
          <w:tcPr>
            <w:tcW w:w="2853"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sz w:val="20"/>
                <w:szCs w:val="20"/>
              </w:rPr>
              <w:t>Wyszczególnienie</w:t>
            </w:r>
          </w:p>
        </w:tc>
        <w:tc>
          <w:tcPr>
            <w:tcW w:w="2853"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sz w:val="20"/>
                <w:szCs w:val="20"/>
              </w:rPr>
              <w:t>INF</w:t>
            </w:r>
          </w:p>
        </w:tc>
        <w:tc>
          <w:tcPr>
            <w:tcW w:w="2853"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sz w:val="20"/>
                <w:szCs w:val="20"/>
              </w:rPr>
              <w:t>PKB</w:t>
            </w:r>
          </w:p>
        </w:tc>
      </w:tr>
      <w:tr w:rsidR="004F7163" w:rsidRPr="004F7163">
        <w:tc>
          <w:tcPr>
            <w:tcW w:w="2853"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dochody z udziału w PIT</w:t>
            </w:r>
          </w:p>
        </w:tc>
        <w:tc>
          <w:tcPr>
            <w:tcW w:w="2853"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0,00%</w:t>
            </w:r>
          </w:p>
        </w:tc>
        <w:tc>
          <w:tcPr>
            <w:tcW w:w="2853"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100,00%</w:t>
            </w:r>
          </w:p>
        </w:tc>
      </w:tr>
      <w:tr w:rsidR="004F7163" w:rsidRPr="004F7163">
        <w:tc>
          <w:tcPr>
            <w:tcW w:w="2853"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dochody z udziału w CIT</w:t>
            </w:r>
          </w:p>
        </w:tc>
        <w:tc>
          <w:tcPr>
            <w:tcW w:w="2853"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0,00%</w:t>
            </w:r>
          </w:p>
        </w:tc>
        <w:tc>
          <w:tcPr>
            <w:tcW w:w="2853"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100,00%</w:t>
            </w:r>
          </w:p>
        </w:tc>
      </w:tr>
      <w:tr w:rsidR="004F7163" w:rsidRPr="004F7163">
        <w:tc>
          <w:tcPr>
            <w:tcW w:w="2853"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subwencja ogólna</w:t>
            </w:r>
          </w:p>
        </w:tc>
        <w:tc>
          <w:tcPr>
            <w:tcW w:w="2853"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0,00%</w:t>
            </w:r>
          </w:p>
        </w:tc>
        <w:tc>
          <w:tcPr>
            <w:tcW w:w="2853"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100,00%</w:t>
            </w:r>
          </w:p>
        </w:tc>
      </w:tr>
      <w:tr w:rsidR="004F7163" w:rsidRPr="004F7163">
        <w:tc>
          <w:tcPr>
            <w:tcW w:w="2853"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dotacje bieżące</w:t>
            </w:r>
          </w:p>
        </w:tc>
        <w:tc>
          <w:tcPr>
            <w:tcW w:w="2853"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0,00%</w:t>
            </w:r>
          </w:p>
        </w:tc>
        <w:tc>
          <w:tcPr>
            <w:tcW w:w="2853"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100,00%</w:t>
            </w:r>
          </w:p>
        </w:tc>
      </w:tr>
      <w:tr w:rsidR="004F7163" w:rsidRPr="004F7163">
        <w:tc>
          <w:tcPr>
            <w:tcW w:w="2853"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z podatku od nieruchomości</w:t>
            </w:r>
          </w:p>
        </w:tc>
        <w:tc>
          <w:tcPr>
            <w:tcW w:w="2853"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0,00%</w:t>
            </w:r>
          </w:p>
        </w:tc>
        <w:tc>
          <w:tcPr>
            <w:tcW w:w="2853"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100,00%</w:t>
            </w:r>
          </w:p>
        </w:tc>
      </w:tr>
    </w:tbl>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Źródło: Opracowanie własne.</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40" w:lineRule="auto"/>
        <w:rPr>
          <w:rFonts w:ascii="Arial" w:hAnsi="Arial" w:cs="Arial"/>
          <w:sz w:val="20"/>
          <w:szCs w:val="20"/>
        </w:rPr>
      </w:pPr>
      <w:r w:rsidRPr="004F7163">
        <w:rPr>
          <w:rFonts w:ascii="Arial" w:hAnsi="Arial" w:cs="Arial"/>
          <w:b/>
          <w:bCs/>
          <w:sz w:val="20"/>
          <w:szCs w:val="20"/>
        </w:rPr>
        <w:t>Podatek od nieruchomości</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Stosownie do przepisów ustawy o podatkach i opłatach lokalnych wysokość stawek podatku od nieruchomości nie może przekroczyć górnych granic stawek kwotowych ogłoszonych przez Ministra Finansów, Inwestycji i Rozwoju. Wpływy z tytułu podatku od nieruchomości na 2020 rok zaplanowano w oparciu o uchwałę nr XX/167/2019 Rady Miejskiej w Rogoźnie z dnia 30 października 2019 r.  sprawie określenia stawek w podatku od nieruchomości na 2020 rok.</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W latach następnych zakłada się wzrostowy trend wpływów z tego podatku i zwiększanie dochodów będących konsekwencją planowanego wzrostu stawek podatkowych oraz corocznego przyrostu przedmiotów opodatkowania związanych z prowadzeniem działalności gospodarczej oraz budynków mieszkalnych.</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40" w:lineRule="auto"/>
        <w:rPr>
          <w:rFonts w:ascii="Arial" w:hAnsi="Arial" w:cs="Arial"/>
          <w:sz w:val="20"/>
          <w:szCs w:val="20"/>
        </w:rPr>
      </w:pPr>
      <w:r w:rsidRPr="004F7163">
        <w:rPr>
          <w:rFonts w:ascii="Arial" w:hAnsi="Arial" w:cs="Arial"/>
          <w:b/>
          <w:bCs/>
          <w:sz w:val="20"/>
          <w:szCs w:val="20"/>
        </w:rPr>
        <w:t>Udział w podatkach centralnych</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Ponieważ ta grupa dochodów pozostaje w bardzo silnym związku z sytuacją makroekonomiczną kraju, przy szacowaniu dochodów z tytułu udziałów w podatku dochodowym od osób fizycznych (PIT) oraz od osób prawnych (CIT) w latach 2020-2037 wzięto pod uwagę założony wskaźnik PKB.</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40" w:lineRule="auto"/>
        <w:rPr>
          <w:rFonts w:ascii="Arial" w:hAnsi="Arial" w:cs="Arial"/>
          <w:sz w:val="20"/>
          <w:szCs w:val="20"/>
        </w:rPr>
      </w:pPr>
      <w:r w:rsidRPr="004F7163">
        <w:rPr>
          <w:rFonts w:ascii="Arial" w:hAnsi="Arial" w:cs="Arial"/>
          <w:b/>
          <w:bCs/>
          <w:sz w:val="20"/>
          <w:szCs w:val="20"/>
        </w:rPr>
        <w:t>Subwencje i dotacje na zadania bieżące</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Planowaną kwotę subwencji ogólnej oraz dotacji celowych z budżetu państwa (innych niż środki na dofinansowanie realizacji projektów europejskich) na 2020 rok przyjęto w oparciu o informacje przekazane przez Ministra Finansów, Inwestycji i Rozwoju. W kolejnych latach prognozy założono wzrost kwoty otrzymywanych dotychczas cyklicznych subwencji i dotacji celowych z budżetu państwa w oparciu o prognozowany wskaźnik PKB.</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b/>
          <w:bCs/>
          <w:sz w:val="20"/>
          <w:szCs w:val="20"/>
        </w:rPr>
      </w:pP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b/>
          <w:bCs/>
          <w:sz w:val="20"/>
          <w:szCs w:val="20"/>
        </w:rPr>
        <w:t>3.1.2 Dochody majątkowe</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Waloryzacji o wskaźniki makroekonomiczne nie poddano dochodów o charakterze majątkowym. Dochody majątkowe, w tym przede wszystkim dochody ze sprzedaży majątku pozbawione są regularności, a ich poziom uzależniony jest od czynników niezależnych, jak np. koniunktura na rynku nieruchomości.</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lastRenderedPageBreak/>
        <w:t>W 2020 roku dochody ze sprzedaży majątku zaplanowano na poziomie 1 660 000,00 zł. Bazując na informacjach o wykonaniu dochodów majątkowych w poprzednich latach, należy stwierdzić, że zaplanowana kwota jest realna, ryzyko ich niewykonania jest minimalne, a sama sprzedaż mienia została zaplanowana przy dochowaniu najwyższej staranności.</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Wartość zaplanowanych w 2020 roku dochodów ze sprzedaży ma zapewnić sprzedaż nieruchomości, których wykaz zaprezentowano w poniższej tabeli.</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4F7163">
        <w:rPr>
          <w:rFonts w:ascii="Arial" w:hAnsi="Arial" w:cs="Arial"/>
          <w:b/>
          <w:bCs/>
          <w:sz w:val="20"/>
          <w:szCs w:val="20"/>
        </w:rPr>
        <w:t>Tabela 3. Wykaz nieruchomości planowanych do sprzedaży w 2020 roku</w:t>
      </w:r>
    </w:p>
    <w:tbl>
      <w:tblPr>
        <w:tblW w:w="0" w:type="auto"/>
        <w:tblInd w:w="10" w:type="dxa"/>
        <w:tblLayout w:type="fixed"/>
        <w:tblCellMar>
          <w:left w:w="10" w:type="dxa"/>
          <w:right w:w="10" w:type="dxa"/>
        </w:tblCellMar>
        <w:tblLook w:val="0000" w:firstRow="0" w:lastRow="0" w:firstColumn="0" w:lastColumn="0" w:noHBand="0" w:noVBand="0"/>
      </w:tblPr>
      <w:tblGrid>
        <w:gridCol w:w="1845"/>
        <w:gridCol w:w="1701"/>
        <w:gridCol w:w="1590"/>
        <w:gridCol w:w="1712"/>
        <w:gridCol w:w="1712"/>
      </w:tblGrid>
      <w:tr w:rsidR="004F7163" w:rsidRPr="004F7163">
        <w:tc>
          <w:tcPr>
            <w:tcW w:w="1845"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sz w:val="20"/>
                <w:szCs w:val="20"/>
              </w:rPr>
              <w:t>Położenie nieruchomości</w:t>
            </w:r>
          </w:p>
        </w:tc>
        <w:tc>
          <w:tcPr>
            <w:tcW w:w="1701"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sz w:val="20"/>
                <w:szCs w:val="20"/>
              </w:rPr>
              <w:t>Nr działki i obręb</w:t>
            </w:r>
          </w:p>
        </w:tc>
        <w:tc>
          <w:tcPr>
            <w:tcW w:w="1590"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sz w:val="20"/>
                <w:szCs w:val="20"/>
              </w:rPr>
              <w:t>Powierzchnia [ha]</w:t>
            </w:r>
          </w:p>
        </w:tc>
        <w:tc>
          <w:tcPr>
            <w:tcW w:w="1712"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sz w:val="20"/>
                <w:szCs w:val="20"/>
              </w:rPr>
              <w:t xml:space="preserve">Wartość netto w zł </w:t>
            </w:r>
          </w:p>
        </w:tc>
        <w:tc>
          <w:tcPr>
            <w:tcW w:w="1712"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sz w:val="20"/>
                <w:szCs w:val="20"/>
              </w:rPr>
              <w:t>Planowany dochód w z</w:t>
            </w:r>
          </w:p>
        </w:tc>
      </w:tr>
      <w:tr w:rsidR="004F7163" w:rsidRPr="004F7163">
        <w:tc>
          <w:tcPr>
            <w:tcW w:w="1845"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Słoneczna</w:t>
            </w:r>
          </w:p>
        </w:tc>
        <w:tc>
          <w:tcPr>
            <w:tcW w:w="1701"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197/11</w:t>
            </w:r>
          </w:p>
        </w:tc>
        <w:tc>
          <w:tcPr>
            <w:tcW w:w="159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0,1100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44 000,00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44 000,00</w:t>
            </w:r>
          </w:p>
        </w:tc>
      </w:tr>
      <w:tr w:rsidR="004F7163" w:rsidRPr="004F7163">
        <w:tc>
          <w:tcPr>
            <w:tcW w:w="1845"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Słoneczna</w:t>
            </w:r>
          </w:p>
        </w:tc>
        <w:tc>
          <w:tcPr>
            <w:tcW w:w="1701"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197/12</w:t>
            </w:r>
          </w:p>
        </w:tc>
        <w:tc>
          <w:tcPr>
            <w:tcW w:w="159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0,1212</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45 000,00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45 000,00</w:t>
            </w:r>
          </w:p>
        </w:tc>
      </w:tr>
      <w:tr w:rsidR="004F7163" w:rsidRPr="004F7163">
        <w:tc>
          <w:tcPr>
            <w:tcW w:w="1845"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Słoneczna</w:t>
            </w:r>
          </w:p>
        </w:tc>
        <w:tc>
          <w:tcPr>
            <w:tcW w:w="1701"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197/13</w:t>
            </w:r>
          </w:p>
        </w:tc>
        <w:tc>
          <w:tcPr>
            <w:tcW w:w="159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0,0956</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38 500,00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 xml:space="preserve">38 500,00 </w:t>
            </w:r>
          </w:p>
        </w:tc>
      </w:tr>
      <w:tr w:rsidR="004F7163" w:rsidRPr="004F7163">
        <w:tc>
          <w:tcPr>
            <w:tcW w:w="1845"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Słoneczna</w:t>
            </w:r>
          </w:p>
        </w:tc>
        <w:tc>
          <w:tcPr>
            <w:tcW w:w="1701"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197/14</w:t>
            </w:r>
          </w:p>
        </w:tc>
        <w:tc>
          <w:tcPr>
            <w:tcW w:w="159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0,9090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36 000,00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36 000,00</w:t>
            </w:r>
          </w:p>
        </w:tc>
      </w:tr>
      <w:tr w:rsidR="004F7163" w:rsidRPr="004F7163">
        <w:tc>
          <w:tcPr>
            <w:tcW w:w="1845"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Skrajna</w:t>
            </w:r>
          </w:p>
        </w:tc>
        <w:tc>
          <w:tcPr>
            <w:tcW w:w="1701"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2408/6</w:t>
            </w:r>
          </w:p>
        </w:tc>
        <w:tc>
          <w:tcPr>
            <w:tcW w:w="159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0,1104</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34 000,00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p>
        </w:tc>
      </w:tr>
      <w:tr w:rsidR="004F7163" w:rsidRPr="004F7163">
        <w:tc>
          <w:tcPr>
            <w:tcW w:w="1845"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Skrajna</w:t>
            </w:r>
          </w:p>
        </w:tc>
        <w:tc>
          <w:tcPr>
            <w:tcW w:w="1701"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2408/8</w:t>
            </w:r>
          </w:p>
        </w:tc>
        <w:tc>
          <w:tcPr>
            <w:tcW w:w="159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0,2524</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66 000,00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66 000,00</w:t>
            </w:r>
          </w:p>
        </w:tc>
      </w:tr>
      <w:tr w:rsidR="004F7163" w:rsidRPr="004F7163">
        <w:tc>
          <w:tcPr>
            <w:tcW w:w="1845"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Skrajna</w:t>
            </w:r>
          </w:p>
        </w:tc>
        <w:tc>
          <w:tcPr>
            <w:tcW w:w="1701"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2408/9</w:t>
            </w:r>
          </w:p>
        </w:tc>
        <w:tc>
          <w:tcPr>
            <w:tcW w:w="159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0,2520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66 000,00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66 000,00</w:t>
            </w:r>
          </w:p>
        </w:tc>
      </w:tr>
      <w:tr w:rsidR="004F7163" w:rsidRPr="004F7163">
        <w:tc>
          <w:tcPr>
            <w:tcW w:w="1845"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Skrajna</w:t>
            </w:r>
          </w:p>
        </w:tc>
        <w:tc>
          <w:tcPr>
            <w:tcW w:w="1701"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2408/12</w:t>
            </w:r>
          </w:p>
        </w:tc>
        <w:tc>
          <w:tcPr>
            <w:tcW w:w="159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0,1260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36 000,00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36 000,00</w:t>
            </w:r>
          </w:p>
        </w:tc>
      </w:tr>
      <w:tr w:rsidR="004F7163" w:rsidRPr="004F7163">
        <w:tc>
          <w:tcPr>
            <w:tcW w:w="1845"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 xml:space="preserve">Rożnowice </w:t>
            </w:r>
          </w:p>
        </w:tc>
        <w:tc>
          <w:tcPr>
            <w:tcW w:w="1701"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308/7</w:t>
            </w:r>
          </w:p>
        </w:tc>
        <w:tc>
          <w:tcPr>
            <w:tcW w:w="159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0,1360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39 500,00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39 500,00</w:t>
            </w:r>
          </w:p>
        </w:tc>
      </w:tr>
      <w:tr w:rsidR="004F7163" w:rsidRPr="004F7163">
        <w:tc>
          <w:tcPr>
            <w:tcW w:w="1845"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Rożnowice</w:t>
            </w:r>
          </w:p>
        </w:tc>
        <w:tc>
          <w:tcPr>
            <w:tcW w:w="1701"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308/5</w:t>
            </w:r>
          </w:p>
        </w:tc>
        <w:tc>
          <w:tcPr>
            <w:tcW w:w="159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0,1356</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38 500,00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38 500,00</w:t>
            </w:r>
          </w:p>
        </w:tc>
      </w:tr>
      <w:tr w:rsidR="004F7163" w:rsidRPr="004F7163">
        <w:tc>
          <w:tcPr>
            <w:tcW w:w="1845"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Międzyleska</w:t>
            </w:r>
          </w:p>
        </w:tc>
        <w:tc>
          <w:tcPr>
            <w:tcW w:w="1701"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2116</w:t>
            </w:r>
          </w:p>
        </w:tc>
        <w:tc>
          <w:tcPr>
            <w:tcW w:w="159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0,2304</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48 000,00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48 000,00</w:t>
            </w:r>
          </w:p>
        </w:tc>
      </w:tr>
      <w:tr w:rsidR="004F7163" w:rsidRPr="004F7163">
        <w:tc>
          <w:tcPr>
            <w:tcW w:w="1845"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Parkowo</w:t>
            </w:r>
          </w:p>
        </w:tc>
        <w:tc>
          <w:tcPr>
            <w:tcW w:w="1701"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111</w:t>
            </w:r>
          </w:p>
        </w:tc>
        <w:tc>
          <w:tcPr>
            <w:tcW w:w="159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0,3500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39 900,00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39 900,00</w:t>
            </w:r>
          </w:p>
        </w:tc>
      </w:tr>
      <w:tr w:rsidR="004F7163" w:rsidRPr="004F7163">
        <w:tc>
          <w:tcPr>
            <w:tcW w:w="1845"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roofErr w:type="spellStart"/>
            <w:r w:rsidRPr="004F7163">
              <w:rPr>
                <w:rFonts w:ascii="Arial" w:hAnsi="Arial" w:cs="Arial"/>
                <w:sz w:val="20"/>
                <w:szCs w:val="20"/>
              </w:rPr>
              <w:t>Dziewcza</w:t>
            </w:r>
            <w:proofErr w:type="spellEnd"/>
            <w:r w:rsidRPr="004F7163">
              <w:rPr>
                <w:rFonts w:ascii="Arial" w:hAnsi="Arial" w:cs="Arial"/>
                <w:sz w:val="20"/>
                <w:szCs w:val="20"/>
              </w:rPr>
              <w:t xml:space="preserve"> Struga</w:t>
            </w:r>
          </w:p>
        </w:tc>
        <w:tc>
          <w:tcPr>
            <w:tcW w:w="1701"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206</w:t>
            </w:r>
          </w:p>
        </w:tc>
        <w:tc>
          <w:tcPr>
            <w:tcW w:w="159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0,3500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70 000,00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70 000,00</w:t>
            </w:r>
          </w:p>
        </w:tc>
      </w:tr>
      <w:tr w:rsidR="004F7163" w:rsidRPr="004F7163">
        <w:tc>
          <w:tcPr>
            <w:tcW w:w="1845"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Gościnna 11 m. Rogoźno</w:t>
            </w:r>
          </w:p>
        </w:tc>
        <w:tc>
          <w:tcPr>
            <w:tcW w:w="1701"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1764</w:t>
            </w:r>
          </w:p>
        </w:tc>
        <w:tc>
          <w:tcPr>
            <w:tcW w:w="159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0,0657</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71 000,00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71 000,00</w:t>
            </w:r>
          </w:p>
        </w:tc>
      </w:tr>
      <w:tr w:rsidR="004F7163" w:rsidRPr="004F7163">
        <w:tc>
          <w:tcPr>
            <w:tcW w:w="1845"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 xml:space="preserve">Strzelecka Kompleks 3 działek </w:t>
            </w:r>
            <w:proofErr w:type="spellStart"/>
            <w:r w:rsidRPr="004F7163">
              <w:rPr>
                <w:rFonts w:ascii="Arial" w:hAnsi="Arial" w:cs="Arial"/>
                <w:sz w:val="20"/>
                <w:szCs w:val="20"/>
              </w:rPr>
              <w:t>imwestycyjnych</w:t>
            </w:r>
            <w:proofErr w:type="spellEnd"/>
          </w:p>
        </w:tc>
        <w:tc>
          <w:tcPr>
            <w:tcW w:w="1701"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2247/13</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2247/14</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2247/15</w:t>
            </w:r>
          </w:p>
        </w:tc>
        <w:tc>
          <w:tcPr>
            <w:tcW w:w="159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0,6260</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0,6643</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0,7600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1 500 000,00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1 500 000,00</w:t>
            </w:r>
          </w:p>
        </w:tc>
      </w:tr>
      <w:tr w:rsidR="004F7163" w:rsidRPr="004F7163">
        <w:tc>
          <w:tcPr>
            <w:tcW w:w="1845"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Kaziopole kompleks działek nr 28/1-6</w:t>
            </w:r>
          </w:p>
        </w:tc>
        <w:tc>
          <w:tcPr>
            <w:tcW w:w="1701"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38/4</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28/6</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28/3</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28/5</w:t>
            </w:r>
          </w:p>
        </w:tc>
        <w:tc>
          <w:tcPr>
            <w:tcW w:w="159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0,1486</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0,1266</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0,3131</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0,4560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160 000,00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160 000,00</w:t>
            </w:r>
          </w:p>
        </w:tc>
      </w:tr>
      <w:tr w:rsidR="004F7163" w:rsidRPr="004F7163">
        <w:tc>
          <w:tcPr>
            <w:tcW w:w="1845"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Leśna</w:t>
            </w:r>
          </w:p>
        </w:tc>
        <w:tc>
          <w:tcPr>
            <w:tcW w:w="1701"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166/1</w:t>
            </w:r>
          </w:p>
        </w:tc>
        <w:tc>
          <w:tcPr>
            <w:tcW w:w="159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0,1079</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35 000,00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35 000,00</w:t>
            </w:r>
          </w:p>
        </w:tc>
      </w:tr>
      <w:tr w:rsidR="004F7163" w:rsidRPr="004F7163">
        <w:tc>
          <w:tcPr>
            <w:tcW w:w="1845"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Leśna</w:t>
            </w:r>
          </w:p>
        </w:tc>
        <w:tc>
          <w:tcPr>
            <w:tcW w:w="1701"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166/2</w:t>
            </w:r>
          </w:p>
        </w:tc>
        <w:tc>
          <w:tcPr>
            <w:tcW w:w="159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0,1080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35 000,00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35 000,00</w:t>
            </w:r>
          </w:p>
        </w:tc>
      </w:tr>
      <w:tr w:rsidR="004F7163" w:rsidRPr="004F7163">
        <w:tc>
          <w:tcPr>
            <w:tcW w:w="1845"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Hetmańska kompleks</w:t>
            </w:r>
          </w:p>
        </w:tc>
        <w:tc>
          <w:tcPr>
            <w:tcW w:w="1701"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197/15</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197/16</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197/17</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197/18</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197/19</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197/20</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197/21</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197/24</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197/32</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197/26</w:t>
            </w:r>
          </w:p>
        </w:tc>
        <w:tc>
          <w:tcPr>
            <w:tcW w:w="159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0,0928</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0,0964</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0,0975</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0,1030</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0,1200</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0,0828</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0,0840</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0,0809</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0,0932</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0,0941</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37 120,00</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38 560,00</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39 000,00</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41 200,00</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48 000,00</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33 600,00</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33 120,00</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32 360,00 37 280,00 37 640,00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37 120,00</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38 560,00</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39 000,00</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41 200,00</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48 000,00</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33 600,00</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33 120,00</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32 360,00 37 280,00 37 640,00</w:t>
            </w:r>
          </w:p>
        </w:tc>
      </w:tr>
      <w:tr w:rsidR="004F7163" w:rsidRPr="004F7163">
        <w:tc>
          <w:tcPr>
            <w:tcW w:w="1845"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 xml:space="preserve">Leśna </w:t>
            </w:r>
          </w:p>
        </w:tc>
        <w:tc>
          <w:tcPr>
            <w:tcW w:w="1701"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133/1</w:t>
            </w:r>
          </w:p>
        </w:tc>
        <w:tc>
          <w:tcPr>
            <w:tcW w:w="159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1,0000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300 000,00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300 000,00</w:t>
            </w:r>
          </w:p>
        </w:tc>
      </w:tr>
      <w:tr w:rsidR="004F7163" w:rsidRPr="004F7163">
        <w:tc>
          <w:tcPr>
            <w:tcW w:w="6848" w:type="dxa"/>
            <w:gridSpan w:val="4"/>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b/>
                <w:bCs/>
                <w:sz w:val="20"/>
                <w:szCs w:val="20"/>
              </w:rPr>
              <w:t>Suma:</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3 080 280,00 zł</w:t>
            </w:r>
          </w:p>
        </w:tc>
      </w:tr>
    </w:tbl>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Źródło: Opracowanie własne.</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 xml:space="preserve">Szacunkową wartość nieruchomości skorygowano i przyjęto do planu sprzedaży w wysokości  53,89 % wartości wyceny, wartość realna. W planie na 2020 r. z tytułu zbycia praw majątkowych przyjęto kwotę 1 660 000,00 zł. </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lastRenderedPageBreak/>
        <w:t xml:space="preserve">Ustalenia powyższych wartości dokonano ze szczególną ostrożnością, uwzględniając sytuację na rynku nieruchomości. </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b/>
          <w:bCs/>
          <w:sz w:val="20"/>
          <w:szCs w:val="20"/>
        </w:rPr>
        <w:t>4. Wydatki</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Prognozy wydatków Gminy Rogoźno dokonano w podziale na kategorie wydatków bieżących i wydatków majątkowych.</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b/>
          <w:bCs/>
          <w:sz w:val="20"/>
          <w:szCs w:val="20"/>
        </w:rPr>
        <w:t>4.1 Wydatki bieżące</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Wydatki bieżące prognozowano w podziale na:</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40" w:lineRule="auto"/>
        <w:rPr>
          <w:rFonts w:ascii="Arial" w:hAnsi="Arial" w:cs="Arial"/>
          <w:sz w:val="20"/>
          <w:szCs w:val="20"/>
        </w:rPr>
      </w:pPr>
      <w:r w:rsidRPr="004F7163">
        <w:rPr>
          <w:rFonts w:ascii="Arial" w:hAnsi="Arial" w:cs="Arial"/>
          <w:sz w:val="20"/>
          <w:szCs w:val="20"/>
        </w:rPr>
        <w:tab/>
        <w:t>1) wynagrodzenia i składki od nich naliczane;</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40" w:lineRule="auto"/>
        <w:rPr>
          <w:rFonts w:ascii="Arial" w:hAnsi="Arial" w:cs="Arial"/>
          <w:sz w:val="20"/>
          <w:szCs w:val="20"/>
        </w:rPr>
      </w:pPr>
      <w:r w:rsidRPr="004F7163">
        <w:rPr>
          <w:rFonts w:ascii="Arial" w:hAnsi="Arial" w:cs="Arial"/>
          <w:sz w:val="20"/>
          <w:szCs w:val="20"/>
        </w:rPr>
        <w:tab/>
        <w:t>2) wydatki na poręczenia i gwarancje;</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40" w:lineRule="auto"/>
        <w:rPr>
          <w:rFonts w:ascii="Arial" w:hAnsi="Arial" w:cs="Arial"/>
          <w:sz w:val="20"/>
          <w:szCs w:val="20"/>
        </w:rPr>
      </w:pPr>
      <w:r w:rsidRPr="004F7163">
        <w:rPr>
          <w:rFonts w:ascii="Arial" w:hAnsi="Arial" w:cs="Arial"/>
          <w:sz w:val="20"/>
          <w:szCs w:val="20"/>
        </w:rPr>
        <w:tab/>
        <w:t>3) wydatki związane z obsługą zadłużenia, w tym odsetki i dyskonto;</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ab/>
        <w:t>4) pozostałe wydatki bieżące.</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Zgodnie z założeniami przyjętymi przy prognozie dochodów, dla wydatków bieżących w roku 2020 przyjęto projekt budżetu. W latach 2021-2037 dokonano indeksacji o wagi wskaźników inflacji i PKB. O ile w przypadku wydatków na wynagrodzenia, pochodnych od wynagrodzeń i pozostałych wydatków bieżących możliwość zastosowania indeksacji jest uzasadniona, o tyle wydatki związane z obsługą długu są ściśle uzależnione od postanowień zawartych w umowach kredytowych, pożyczkowych i emisji obligacji.</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4F7163">
        <w:rPr>
          <w:rFonts w:ascii="Arial" w:hAnsi="Arial" w:cs="Arial"/>
          <w:b/>
          <w:bCs/>
          <w:sz w:val="20"/>
          <w:szCs w:val="20"/>
        </w:rPr>
        <w:t>Tabela 4. Wagi dla danych makroekonomicznych przyjęte do wyliczeń prognozy wydatków bieżących</w:t>
      </w:r>
    </w:p>
    <w:tbl>
      <w:tblPr>
        <w:tblW w:w="0" w:type="auto"/>
        <w:tblInd w:w="10" w:type="dxa"/>
        <w:tblLayout w:type="fixed"/>
        <w:tblCellMar>
          <w:left w:w="10" w:type="dxa"/>
          <w:right w:w="10" w:type="dxa"/>
        </w:tblCellMar>
        <w:tblLook w:val="0000" w:firstRow="0" w:lastRow="0" w:firstColumn="0" w:lastColumn="0" w:noHBand="0" w:noVBand="0"/>
      </w:tblPr>
      <w:tblGrid>
        <w:gridCol w:w="2140"/>
        <w:gridCol w:w="2140"/>
        <w:gridCol w:w="2140"/>
        <w:gridCol w:w="2140"/>
      </w:tblGrid>
      <w:tr w:rsidR="004F7163" w:rsidRPr="004F7163">
        <w:tc>
          <w:tcPr>
            <w:tcW w:w="2140"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sz w:val="20"/>
                <w:szCs w:val="20"/>
              </w:rPr>
              <w:t>Wyszczególnienie</w:t>
            </w:r>
          </w:p>
        </w:tc>
        <w:tc>
          <w:tcPr>
            <w:tcW w:w="2140"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sz w:val="20"/>
                <w:szCs w:val="20"/>
              </w:rPr>
              <w:t>INF</w:t>
            </w:r>
          </w:p>
        </w:tc>
        <w:tc>
          <w:tcPr>
            <w:tcW w:w="2140"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sz w:val="20"/>
                <w:szCs w:val="20"/>
              </w:rPr>
              <w:t>PKB</w:t>
            </w:r>
          </w:p>
        </w:tc>
        <w:tc>
          <w:tcPr>
            <w:tcW w:w="2140"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sz w:val="20"/>
                <w:szCs w:val="20"/>
              </w:rPr>
              <w:t>WYNAGR</w:t>
            </w:r>
          </w:p>
        </w:tc>
      </w:tr>
      <w:tr w:rsidR="004F7163" w:rsidRPr="004F7163">
        <w:tc>
          <w:tcPr>
            <w:tcW w:w="2140"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wynagrodzenia i pochodne</w:t>
            </w:r>
          </w:p>
        </w:tc>
        <w:tc>
          <w:tcPr>
            <w:tcW w:w="214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100,00%</w:t>
            </w:r>
          </w:p>
        </w:tc>
        <w:tc>
          <w:tcPr>
            <w:tcW w:w="214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0,00%</w:t>
            </w:r>
          </w:p>
        </w:tc>
        <w:tc>
          <w:tcPr>
            <w:tcW w:w="214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0,00%</w:t>
            </w:r>
          </w:p>
        </w:tc>
      </w:tr>
      <w:tr w:rsidR="004F7163" w:rsidRPr="004F7163">
        <w:tc>
          <w:tcPr>
            <w:tcW w:w="2140"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inne</w:t>
            </w:r>
          </w:p>
        </w:tc>
        <w:tc>
          <w:tcPr>
            <w:tcW w:w="214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100,00%</w:t>
            </w:r>
          </w:p>
        </w:tc>
        <w:tc>
          <w:tcPr>
            <w:tcW w:w="214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0,00%</w:t>
            </w:r>
          </w:p>
        </w:tc>
        <w:tc>
          <w:tcPr>
            <w:tcW w:w="214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0,00%</w:t>
            </w:r>
          </w:p>
        </w:tc>
      </w:tr>
    </w:tbl>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Źródło: Opracowanie własne.</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b/>
          <w:bCs/>
          <w:sz w:val="20"/>
          <w:szCs w:val="20"/>
        </w:rPr>
        <w:t>4.2 Wydatki majątkowe</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Wydatki majątkowe obejmują przede wszystkim przedsięwzięcia inwestycyjne, które ujęto w załączniku nr 2 do Wieloletniej Prognozy Finansowej Gminy Rogoźno na lata 2020-2023. W kolejnych latach wydatki majątkowe zostały zaplanowane tak, aby pokryły pozostałą po spłacie zobowiązań część tzw. wolnych środków.</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Oprócz przedsięwzięć przewidzianych w WPF zaplanowano niezbędne wydatki, takie jak: dotacje celowe dla JST wynikające z ustawy o ochronie gruntów rolnych i leśnych, wydatki na pozyskanie gruntów pod inwestycje drogowe itp.</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b/>
          <w:bCs/>
          <w:sz w:val="20"/>
          <w:szCs w:val="20"/>
        </w:rPr>
      </w:pP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b/>
          <w:bCs/>
          <w:sz w:val="20"/>
          <w:szCs w:val="20"/>
        </w:rPr>
        <w:t>5. Wynik budżetu</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Wynik budżetu w prognozowanym okresie jest ściśle powiązany z przyjętymi założeniami do prognozy dochodów i wydatków. Fakt prognozowania w oparciu o dane makroekonomiczne o niewielkiej zmienności powoduje zrównoważony i stabilny wzrost dochodów oraz wydatków bieżących, któremu można przypisać cechy statystyczne. W całym prognozowanym okresie utrzymana została relacja z art. 242 (brak deficytu bieżącego). Ponadto wynik finansowy budżetu został sprowadzony do 0 w całym badanym okresie.</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4F7163">
        <w:rPr>
          <w:rFonts w:ascii="Arial" w:hAnsi="Arial" w:cs="Arial"/>
          <w:b/>
          <w:bCs/>
          <w:sz w:val="20"/>
          <w:szCs w:val="20"/>
        </w:rPr>
        <w:lastRenderedPageBreak/>
        <w:t>Tabela 5. Wynik budżetu Gminy Rogoźno</w:t>
      </w:r>
    </w:p>
    <w:tbl>
      <w:tblPr>
        <w:tblW w:w="0" w:type="auto"/>
        <w:tblInd w:w="10" w:type="dxa"/>
        <w:tblLayout w:type="fixed"/>
        <w:tblCellMar>
          <w:left w:w="10" w:type="dxa"/>
          <w:right w:w="10" w:type="dxa"/>
        </w:tblCellMar>
        <w:tblLook w:val="0000" w:firstRow="0" w:lastRow="0" w:firstColumn="0" w:lastColumn="0" w:noHBand="0" w:noVBand="0"/>
      </w:tblPr>
      <w:tblGrid>
        <w:gridCol w:w="1712"/>
        <w:gridCol w:w="1712"/>
        <w:gridCol w:w="1712"/>
        <w:gridCol w:w="1712"/>
        <w:gridCol w:w="1712"/>
      </w:tblGrid>
      <w:tr w:rsidR="004F7163" w:rsidRPr="004F7163">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p>
        </w:tc>
        <w:tc>
          <w:tcPr>
            <w:tcW w:w="1712"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2020</w:t>
            </w:r>
          </w:p>
        </w:tc>
        <w:tc>
          <w:tcPr>
            <w:tcW w:w="1712"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2021</w:t>
            </w:r>
          </w:p>
        </w:tc>
        <w:tc>
          <w:tcPr>
            <w:tcW w:w="1712"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2022</w:t>
            </w:r>
          </w:p>
        </w:tc>
        <w:tc>
          <w:tcPr>
            <w:tcW w:w="1712"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2023</w:t>
            </w:r>
          </w:p>
        </w:tc>
      </w:tr>
      <w:tr w:rsidR="004F7163" w:rsidRPr="004F7163">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b/>
                <w:bCs/>
                <w:sz w:val="20"/>
                <w:szCs w:val="20"/>
              </w:rPr>
              <w:t>Dochody</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84 881 519,41</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87 869 351,00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88 837 329,00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91 591 287,00</w:t>
            </w:r>
          </w:p>
        </w:tc>
      </w:tr>
      <w:tr w:rsidR="004F7163" w:rsidRPr="004F7163">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b/>
                <w:bCs/>
                <w:sz w:val="20"/>
                <w:szCs w:val="20"/>
              </w:rPr>
              <w:t>Wydatki</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86 574 669,41</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85 800 451,00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86 620 529,00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89 374 287,00</w:t>
            </w:r>
          </w:p>
        </w:tc>
      </w:tr>
      <w:tr w:rsidR="004F7163" w:rsidRPr="004F7163">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b/>
                <w:bCs/>
                <w:sz w:val="20"/>
                <w:szCs w:val="20"/>
              </w:rPr>
              <w:t>Wynik budżetu</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-1 693 150,00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2 068 900,00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2 216 800,00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2 217 000,00</w:t>
            </w:r>
          </w:p>
        </w:tc>
      </w:tr>
      <w:tr w:rsidR="004F7163" w:rsidRPr="004F7163">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p>
        </w:tc>
        <w:tc>
          <w:tcPr>
            <w:tcW w:w="1712"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2024</w:t>
            </w:r>
          </w:p>
        </w:tc>
        <w:tc>
          <w:tcPr>
            <w:tcW w:w="1712"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2025</w:t>
            </w:r>
          </w:p>
        </w:tc>
        <w:tc>
          <w:tcPr>
            <w:tcW w:w="1712"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2026</w:t>
            </w:r>
          </w:p>
        </w:tc>
        <w:tc>
          <w:tcPr>
            <w:tcW w:w="1712"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2027</w:t>
            </w:r>
          </w:p>
        </w:tc>
      </w:tr>
      <w:tr w:rsidR="004F7163" w:rsidRPr="004F7163">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b/>
                <w:bCs/>
                <w:sz w:val="20"/>
                <w:szCs w:val="20"/>
              </w:rPr>
              <w:t>Dochody</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94 339 026,00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97 169 198,00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100 084 274,00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102 986 717,00</w:t>
            </w:r>
          </w:p>
        </w:tc>
      </w:tr>
      <w:tr w:rsidR="004F7163" w:rsidRPr="004F7163">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b/>
                <w:bCs/>
                <w:sz w:val="20"/>
                <w:szCs w:val="20"/>
              </w:rPr>
              <w:t>Wydatki</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92 542 026,00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95 485 596,76</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98 812 274,00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101 715 573,00</w:t>
            </w:r>
          </w:p>
        </w:tc>
      </w:tr>
      <w:tr w:rsidR="004F7163" w:rsidRPr="004F7163">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b/>
                <w:bCs/>
                <w:sz w:val="20"/>
                <w:szCs w:val="20"/>
              </w:rPr>
              <w:t>Wynik budżetu</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1 797 000,00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1 683 601,24</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1 272 000,00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1 271 144,00</w:t>
            </w:r>
          </w:p>
        </w:tc>
      </w:tr>
      <w:tr w:rsidR="004F7163" w:rsidRPr="004F7163">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p>
        </w:tc>
        <w:tc>
          <w:tcPr>
            <w:tcW w:w="1712"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2028</w:t>
            </w:r>
          </w:p>
        </w:tc>
        <w:tc>
          <w:tcPr>
            <w:tcW w:w="1712"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2029</w:t>
            </w:r>
          </w:p>
        </w:tc>
        <w:tc>
          <w:tcPr>
            <w:tcW w:w="1712"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2030</w:t>
            </w:r>
          </w:p>
        </w:tc>
        <w:tc>
          <w:tcPr>
            <w:tcW w:w="1712"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2031</w:t>
            </w:r>
          </w:p>
        </w:tc>
      </w:tr>
      <w:tr w:rsidR="004F7163" w:rsidRPr="004F7163">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b/>
                <w:bCs/>
                <w:sz w:val="20"/>
                <w:szCs w:val="20"/>
              </w:rPr>
              <w:t>Dochody</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105 870 345,00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108 728 844,00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111 664 522,00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114 567 799,00</w:t>
            </w:r>
          </w:p>
        </w:tc>
      </w:tr>
      <w:tr w:rsidR="004F7163" w:rsidRPr="004F7163">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b/>
                <w:bCs/>
                <w:sz w:val="20"/>
                <w:szCs w:val="20"/>
              </w:rPr>
              <w:t>Wydatki</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104 736 318,89</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107 808 844,00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110 744 522,00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113 147 799,00</w:t>
            </w:r>
          </w:p>
        </w:tc>
      </w:tr>
      <w:tr w:rsidR="004F7163" w:rsidRPr="004F7163">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b/>
                <w:bCs/>
                <w:sz w:val="20"/>
                <w:szCs w:val="20"/>
              </w:rPr>
              <w:t>Wynik budżetu</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1 134 026,11</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920 000,00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920 000,00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1 420 000,00</w:t>
            </w:r>
          </w:p>
        </w:tc>
      </w:tr>
      <w:tr w:rsidR="004F7163" w:rsidRPr="004F7163">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p>
        </w:tc>
        <w:tc>
          <w:tcPr>
            <w:tcW w:w="1712"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2032</w:t>
            </w:r>
          </w:p>
        </w:tc>
        <w:tc>
          <w:tcPr>
            <w:tcW w:w="1712"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2033</w:t>
            </w:r>
          </w:p>
        </w:tc>
        <w:tc>
          <w:tcPr>
            <w:tcW w:w="1712"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2034</w:t>
            </w:r>
          </w:p>
        </w:tc>
        <w:tc>
          <w:tcPr>
            <w:tcW w:w="1712"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2035</w:t>
            </w:r>
          </w:p>
        </w:tc>
      </w:tr>
      <w:tr w:rsidR="004F7163" w:rsidRPr="004F7163">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b/>
                <w:bCs/>
                <w:sz w:val="20"/>
                <w:szCs w:val="20"/>
              </w:rPr>
              <w:t>Dochody</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117 431 994,00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120 250 362,00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123 016 120,00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125 722 474,00</w:t>
            </w:r>
          </w:p>
        </w:tc>
      </w:tr>
      <w:tr w:rsidR="004F7163" w:rsidRPr="004F7163">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b/>
                <w:bCs/>
                <w:sz w:val="20"/>
                <w:szCs w:val="20"/>
              </w:rPr>
              <w:t>Wydatki</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116 011 994,00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118 830 362,00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122 116 120,00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124 822 474,00</w:t>
            </w:r>
          </w:p>
        </w:tc>
      </w:tr>
      <w:tr w:rsidR="004F7163" w:rsidRPr="004F7163">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b/>
                <w:bCs/>
                <w:sz w:val="20"/>
                <w:szCs w:val="20"/>
              </w:rPr>
              <w:t>Wynik budżetu</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1 420 000,00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1 420 000,00</w:t>
            </w:r>
          </w:p>
        </w:tc>
        <w:tc>
          <w:tcPr>
            <w:tcW w:w="1712" w:type="dxa"/>
            <w:tcBorders>
              <w:top w:val="single" w:sz="4" w:space="0" w:color="auto"/>
              <w:left w:val="single" w:sz="4" w:space="0" w:color="auto"/>
              <w:bottom w:val="nil"/>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900 000,00</w:t>
            </w:r>
          </w:p>
        </w:tc>
        <w:tc>
          <w:tcPr>
            <w:tcW w:w="1712" w:type="dxa"/>
            <w:tcBorders>
              <w:top w:val="single" w:sz="4" w:space="0" w:color="auto"/>
              <w:left w:val="single" w:sz="4" w:space="0" w:color="auto"/>
              <w:bottom w:val="nil"/>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900 000,00</w:t>
            </w:r>
          </w:p>
        </w:tc>
      </w:tr>
      <w:tr w:rsidR="004F7163" w:rsidRPr="004F7163">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p>
        </w:tc>
        <w:tc>
          <w:tcPr>
            <w:tcW w:w="1712"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2036</w:t>
            </w:r>
          </w:p>
        </w:tc>
        <w:tc>
          <w:tcPr>
            <w:tcW w:w="1712"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2037</w:t>
            </w:r>
          </w:p>
        </w:tc>
        <w:tc>
          <w:tcPr>
            <w:tcW w:w="3424" w:type="dxa"/>
            <w:gridSpan w:val="2"/>
            <w:vMerge w:val="restart"/>
            <w:tcBorders>
              <w:top w:val="nil"/>
              <w:left w:val="single" w:sz="4" w:space="0" w:color="auto"/>
              <w:bottom w:val="nil"/>
              <w:right w:val="nil"/>
            </w:tcBorders>
            <w:tcMar>
              <w:right w:w="0" w:type="dxa"/>
            </w:tcMar>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p>
        </w:tc>
      </w:tr>
      <w:tr w:rsidR="004F7163" w:rsidRPr="004F7163">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b/>
                <w:bCs/>
                <w:sz w:val="20"/>
                <w:szCs w:val="20"/>
              </w:rPr>
              <w:t>Dochody</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128 488 367,00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131 186 622,00</w:t>
            </w:r>
          </w:p>
        </w:tc>
        <w:tc>
          <w:tcPr>
            <w:tcW w:w="3424" w:type="dxa"/>
            <w:gridSpan w:val="2"/>
            <w:vMerge/>
            <w:tcBorders>
              <w:top w:val="nil"/>
              <w:left w:val="single" w:sz="4" w:space="0" w:color="auto"/>
              <w:bottom w:val="nil"/>
              <w:right w:val="nil"/>
            </w:tcBorders>
            <w:tcMar>
              <w:right w:w="0" w:type="dxa"/>
            </w:tcMar>
          </w:tcPr>
          <w:p w:rsidR="004F7163" w:rsidRPr="004F7163" w:rsidRDefault="004F7163" w:rsidP="004F7163">
            <w:pPr>
              <w:widowControl w:val="0"/>
              <w:autoSpaceDE w:val="0"/>
              <w:autoSpaceDN w:val="0"/>
              <w:adjustRightInd w:val="0"/>
              <w:spacing w:after="0" w:line="240" w:lineRule="auto"/>
              <w:rPr>
                <w:rFonts w:ascii="Arial" w:hAnsi="Arial" w:cs="Arial"/>
                <w:sz w:val="20"/>
                <w:szCs w:val="20"/>
              </w:rPr>
            </w:pPr>
          </w:p>
        </w:tc>
      </w:tr>
      <w:tr w:rsidR="004F7163" w:rsidRPr="004F7163">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b/>
                <w:bCs/>
                <w:sz w:val="20"/>
                <w:szCs w:val="20"/>
              </w:rPr>
              <w:t>Wydatki</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127 588 367,00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130 176 672,00</w:t>
            </w:r>
          </w:p>
        </w:tc>
        <w:tc>
          <w:tcPr>
            <w:tcW w:w="3424" w:type="dxa"/>
            <w:gridSpan w:val="2"/>
            <w:vMerge/>
            <w:tcBorders>
              <w:top w:val="nil"/>
              <w:left w:val="single" w:sz="4" w:space="0" w:color="auto"/>
              <w:bottom w:val="nil"/>
              <w:right w:val="nil"/>
            </w:tcBorders>
            <w:tcMar>
              <w:right w:w="0" w:type="dxa"/>
            </w:tcMar>
          </w:tcPr>
          <w:p w:rsidR="004F7163" w:rsidRPr="004F7163" w:rsidRDefault="004F7163" w:rsidP="004F7163">
            <w:pPr>
              <w:widowControl w:val="0"/>
              <w:autoSpaceDE w:val="0"/>
              <w:autoSpaceDN w:val="0"/>
              <w:adjustRightInd w:val="0"/>
              <w:spacing w:after="0" w:line="240" w:lineRule="auto"/>
              <w:rPr>
                <w:rFonts w:ascii="Arial" w:hAnsi="Arial" w:cs="Arial"/>
                <w:sz w:val="20"/>
                <w:szCs w:val="20"/>
              </w:rPr>
            </w:pPr>
          </w:p>
        </w:tc>
      </w:tr>
      <w:tr w:rsidR="004F7163" w:rsidRPr="004F7163">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b/>
                <w:bCs/>
                <w:sz w:val="20"/>
                <w:szCs w:val="20"/>
              </w:rPr>
              <w:t>Wynik budżetu</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900 000,00</w:t>
            </w:r>
          </w:p>
        </w:tc>
        <w:tc>
          <w:tcPr>
            <w:tcW w:w="1712"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1 009 950,00</w:t>
            </w:r>
          </w:p>
        </w:tc>
        <w:tc>
          <w:tcPr>
            <w:tcW w:w="3424" w:type="dxa"/>
            <w:gridSpan w:val="2"/>
            <w:vMerge/>
            <w:tcBorders>
              <w:top w:val="nil"/>
              <w:left w:val="single" w:sz="4" w:space="0" w:color="auto"/>
              <w:bottom w:val="nil"/>
              <w:right w:val="nil"/>
            </w:tcBorders>
            <w:tcMar>
              <w:right w:w="0" w:type="dxa"/>
            </w:tcMar>
            <w:vAlign w:val="center"/>
          </w:tcPr>
          <w:p w:rsidR="004F7163" w:rsidRPr="004F7163" w:rsidRDefault="004F7163" w:rsidP="004F7163">
            <w:pPr>
              <w:widowControl w:val="0"/>
              <w:autoSpaceDE w:val="0"/>
              <w:autoSpaceDN w:val="0"/>
              <w:adjustRightInd w:val="0"/>
              <w:spacing w:after="0" w:line="240" w:lineRule="auto"/>
              <w:rPr>
                <w:rFonts w:ascii="Arial" w:hAnsi="Arial" w:cs="Arial"/>
                <w:sz w:val="20"/>
                <w:szCs w:val="20"/>
              </w:rPr>
            </w:pPr>
          </w:p>
        </w:tc>
      </w:tr>
    </w:tbl>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Źródło: Opracowanie własne.</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b/>
          <w:bCs/>
          <w:sz w:val="20"/>
          <w:szCs w:val="20"/>
        </w:rPr>
      </w:pP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b/>
          <w:bCs/>
          <w:sz w:val="20"/>
          <w:szCs w:val="20"/>
        </w:rPr>
        <w:t>6. Przychody</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W okresie objętym prognozą planuje się pozyskać przychody w roku 2020 na pokrycie planowanego deficytu budżetowego</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W okresie objętym prognozą planuje się zaciągnąć nowe zobowiązanie.</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b/>
          <w:bCs/>
          <w:sz w:val="20"/>
          <w:szCs w:val="20"/>
        </w:rPr>
        <w:t>7. Rozchody</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Na dzień 1.01.2020 kwota zadłużenia, wpływająca na kształtowanie się wskaźnika faktycznej obsługi zadłużenia, wynikająca z zaciągniętych kredytów, pożyczek i wyemitowanych obligacji wynosi 21 934 771,35 zł, a jego spłata planowana jest do roku 2037.</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Planowany stan zadłużenia na 31.12.2019 r. przedstawiono w poniższej tabeli.</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sz w:val="20"/>
          <w:szCs w:val="20"/>
        </w:rPr>
      </w:pP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sz w:val="20"/>
          <w:szCs w:val="20"/>
        </w:rPr>
      </w:pP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sz w:val="20"/>
          <w:szCs w:val="20"/>
        </w:rPr>
      </w:pPr>
      <w:r w:rsidRPr="004F7163">
        <w:rPr>
          <w:rFonts w:ascii="Arial" w:hAnsi="Arial" w:cs="Arial"/>
          <w:b/>
          <w:bCs/>
          <w:sz w:val="20"/>
          <w:szCs w:val="20"/>
        </w:rPr>
        <w:t>Tabela 6. Stan zadłużenia Gminy Rogoźno na 31.12.2019 r.</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372"/>
        <w:gridCol w:w="4657"/>
        <w:gridCol w:w="3140"/>
      </w:tblGrid>
      <w:tr w:rsidR="004F7163" w:rsidRPr="004F7163">
        <w:tc>
          <w:tcPr>
            <w:tcW w:w="372"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sz w:val="20"/>
                <w:szCs w:val="20"/>
              </w:rPr>
              <w:t>L.p.</w:t>
            </w:r>
          </w:p>
        </w:tc>
        <w:tc>
          <w:tcPr>
            <w:tcW w:w="4657"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sz w:val="20"/>
                <w:szCs w:val="20"/>
              </w:rPr>
              <w:t>Wyszczególnienie</w:t>
            </w:r>
          </w:p>
        </w:tc>
        <w:tc>
          <w:tcPr>
            <w:tcW w:w="3140"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sz w:val="20"/>
                <w:szCs w:val="20"/>
              </w:rPr>
              <w:t>Pozostaje do spłaty na dzień 31.12.2019 r.</w:t>
            </w:r>
          </w:p>
        </w:tc>
      </w:tr>
      <w:tr w:rsidR="004F7163" w:rsidRPr="004F7163">
        <w:tc>
          <w:tcPr>
            <w:tcW w:w="8169" w:type="dxa"/>
            <w:gridSpan w:val="3"/>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sz w:val="20"/>
                <w:szCs w:val="20"/>
                <w:shd w:val="clear" w:color="auto" w:fill="C0C0C0"/>
              </w:rPr>
              <w:t>Zadłużenie z tytułu udzielonych kredytów i pożyczek</w:t>
            </w:r>
          </w:p>
        </w:tc>
      </w:tr>
      <w:tr w:rsidR="004F7163" w:rsidRPr="004F7163">
        <w:trPr>
          <w:trHeight w:val="308"/>
        </w:trPr>
        <w:tc>
          <w:tcPr>
            <w:tcW w:w="372"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sz w:val="20"/>
                <w:szCs w:val="20"/>
              </w:rPr>
              <w:t>1</w:t>
            </w:r>
          </w:p>
        </w:tc>
        <w:tc>
          <w:tcPr>
            <w:tcW w:w="4657"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Bank Pocztowy SA Bydgoszcz</w:t>
            </w:r>
          </w:p>
        </w:tc>
        <w:tc>
          <w:tcPr>
            <w:tcW w:w="314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1 679 400,00 zł</w:t>
            </w:r>
          </w:p>
        </w:tc>
      </w:tr>
      <w:tr w:rsidR="004F7163" w:rsidRPr="004F7163">
        <w:tc>
          <w:tcPr>
            <w:tcW w:w="372"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sz w:val="20"/>
                <w:szCs w:val="20"/>
              </w:rPr>
              <w:t>2</w:t>
            </w:r>
          </w:p>
        </w:tc>
        <w:tc>
          <w:tcPr>
            <w:tcW w:w="4657"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Bank Spółdzielczy Czarnków</w:t>
            </w:r>
          </w:p>
        </w:tc>
        <w:tc>
          <w:tcPr>
            <w:tcW w:w="314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1 095 144,00 zł</w:t>
            </w:r>
          </w:p>
        </w:tc>
      </w:tr>
      <w:tr w:rsidR="004F7163" w:rsidRPr="004F7163">
        <w:tc>
          <w:tcPr>
            <w:tcW w:w="372"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sz w:val="20"/>
                <w:szCs w:val="20"/>
              </w:rPr>
              <w:t>3</w:t>
            </w:r>
          </w:p>
        </w:tc>
        <w:tc>
          <w:tcPr>
            <w:tcW w:w="4657"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Bank Spółdzielczy Czarnków</w:t>
            </w:r>
          </w:p>
        </w:tc>
        <w:tc>
          <w:tcPr>
            <w:tcW w:w="314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625 000,00 zł</w:t>
            </w:r>
          </w:p>
        </w:tc>
      </w:tr>
      <w:tr w:rsidR="004F7163" w:rsidRPr="004F7163">
        <w:tc>
          <w:tcPr>
            <w:tcW w:w="372"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sz w:val="20"/>
                <w:szCs w:val="20"/>
              </w:rPr>
              <w:t>4</w:t>
            </w:r>
          </w:p>
        </w:tc>
        <w:tc>
          <w:tcPr>
            <w:tcW w:w="4657"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Bank Gospodarstwa Krajowego Warszawa</w:t>
            </w:r>
          </w:p>
        </w:tc>
        <w:tc>
          <w:tcPr>
            <w:tcW w:w="314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6 752 100,00 zł</w:t>
            </w:r>
          </w:p>
        </w:tc>
      </w:tr>
      <w:tr w:rsidR="004F7163" w:rsidRPr="004F7163">
        <w:tc>
          <w:tcPr>
            <w:tcW w:w="372"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sz w:val="20"/>
                <w:szCs w:val="20"/>
              </w:rPr>
              <w:t>5</w:t>
            </w:r>
          </w:p>
        </w:tc>
        <w:tc>
          <w:tcPr>
            <w:tcW w:w="4657"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 xml:space="preserve">Wojewódzki Fundusz Ochrony środowiska w </w:t>
            </w:r>
            <w:r w:rsidRPr="004F7163">
              <w:rPr>
                <w:rFonts w:ascii="Arial" w:hAnsi="Arial" w:cs="Arial"/>
                <w:sz w:val="20"/>
                <w:szCs w:val="20"/>
              </w:rPr>
              <w:lastRenderedPageBreak/>
              <w:t>Poznaniu</w:t>
            </w:r>
          </w:p>
        </w:tc>
        <w:tc>
          <w:tcPr>
            <w:tcW w:w="314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lastRenderedPageBreak/>
              <w:t>2 411 601,24 zł</w:t>
            </w:r>
          </w:p>
        </w:tc>
      </w:tr>
      <w:tr w:rsidR="004F7163" w:rsidRPr="004F7163">
        <w:tc>
          <w:tcPr>
            <w:tcW w:w="372"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sz w:val="20"/>
                <w:szCs w:val="20"/>
              </w:rPr>
              <w:lastRenderedPageBreak/>
              <w:t>6</w:t>
            </w:r>
          </w:p>
        </w:tc>
        <w:tc>
          <w:tcPr>
            <w:tcW w:w="4657"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Bank Gospodarstwa krajowego w Warszawie</w:t>
            </w:r>
          </w:p>
        </w:tc>
        <w:tc>
          <w:tcPr>
            <w:tcW w:w="314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469 315,05 zł</w:t>
            </w:r>
          </w:p>
        </w:tc>
      </w:tr>
      <w:tr w:rsidR="004F7163" w:rsidRPr="004F7163">
        <w:tc>
          <w:tcPr>
            <w:tcW w:w="372"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sz w:val="20"/>
                <w:szCs w:val="20"/>
              </w:rPr>
              <w:t>7</w:t>
            </w:r>
          </w:p>
        </w:tc>
        <w:tc>
          <w:tcPr>
            <w:tcW w:w="4657"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Bank Gospodarstwa krajowego w Warszawie</w:t>
            </w:r>
          </w:p>
        </w:tc>
        <w:tc>
          <w:tcPr>
            <w:tcW w:w="314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6 144 711,06 zł</w:t>
            </w:r>
          </w:p>
        </w:tc>
      </w:tr>
      <w:tr w:rsidR="004F7163" w:rsidRPr="004F7163">
        <w:tc>
          <w:tcPr>
            <w:tcW w:w="8169" w:type="dxa"/>
            <w:gridSpan w:val="3"/>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sz w:val="20"/>
                <w:szCs w:val="20"/>
                <w:shd w:val="clear" w:color="auto" w:fill="C0C0C0"/>
              </w:rPr>
              <w:t>Emisja obligacj</w:t>
            </w:r>
            <w:r w:rsidRPr="004F7163">
              <w:rPr>
                <w:rFonts w:ascii="Arial" w:hAnsi="Arial" w:cs="Arial"/>
                <w:sz w:val="20"/>
                <w:szCs w:val="20"/>
              </w:rPr>
              <w:t>i</w:t>
            </w:r>
          </w:p>
        </w:tc>
      </w:tr>
      <w:tr w:rsidR="004F7163" w:rsidRPr="004F7163">
        <w:tc>
          <w:tcPr>
            <w:tcW w:w="372"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sz w:val="20"/>
                <w:szCs w:val="20"/>
              </w:rPr>
              <w:t>1</w:t>
            </w:r>
          </w:p>
        </w:tc>
        <w:tc>
          <w:tcPr>
            <w:tcW w:w="4657"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Planowana emisja obligacji</w:t>
            </w:r>
          </w:p>
        </w:tc>
        <w:tc>
          <w:tcPr>
            <w:tcW w:w="314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2 600 000,00 zł</w:t>
            </w:r>
          </w:p>
        </w:tc>
      </w:tr>
      <w:tr w:rsidR="004F7163" w:rsidRPr="004F7163">
        <w:tc>
          <w:tcPr>
            <w:tcW w:w="372"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p>
        </w:tc>
        <w:tc>
          <w:tcPr>
            <w:tcW w:w="4657"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p>
        </w:tc>
        <w:tc>
          <w:tcPr>
            <w:tcW w:w="314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p>
        </w:tc>
      </w:tr>
      <w:tr w:rsidR="004F7163" w:rsidRPr="004F7163">
        <w:tc>
          <w:tcPr>
            <w:tcW w:w="8169" w:type="dxa"/>
            <w:gridSpan w:val="3"/>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sz w:val="20"/>
                <w:szCs w:val="20"/>
                <w:shd w:val="clear" w:color="auto" w:fill="C0C0C0"/>
              </w:rPr>
              <w:t>Zadłużenie wobec Spółdzielni Mieszkaniowej w Obornikach</w:t>
            </w:r>
          </w:p>
        </w:tc>
      </w:tr>
      <w:tr w:rsidR="004F7163" w:rsidRPr="004F7163">
        <w:tc>
          <w:tcPr>
            <w:tcW w:w="372"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sz w:val="20"/>
                <w:szCs w:val="20"/>
              </w:rPr>
              <w:t>1</w:t>
            </w:r>
          </w:p>
        </w:tc>
        <w:tc>
          <w:tcPr>
            <w:tcW w:w="4657"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sz w:val="20"/>
                <w:szCs w:val="20"/>
              </w:rPr>
              <w:t>Rata za wykup nieruchomości</w:t>
            </w:r>
          </w:p>
        </w:tc>
        <w:tc>
          <w:tcPr>
            <w:tcW w:w="314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 xml:space="preserve">157 500,00 </w:t>
            </w:r>
            <w:proofErr w:type="spellStart"/>
            <w:r w:rsidRPr="004F7163">
              <w:rPr>
                <w:rFonts w:ascii="Arial" w:hAnsi="Arial" w:cs="Arial"/>
                <w:sz w:val="20"/>
                <w:szCs w:val="20"/>
              </w:rPr>
              <w:t>zl</w:t>
            </w:r>
            <w:proofErr w:type="spellEnd"/>
          </w:p>
        </w:tc>
      </w:tr>
      <w:tr w:rsidR="004F7163" w:rsidRPr="004F7163">
        <w:tc>
          <w:tcPr>
            <w:tcW w:w="5029" w:type="dxa"/>
            <w:gridSpan w:val="2"/>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sz w:val="20"/>
                <w:szCs w:val="20"/>
              </w:rPr>
            </w:pPr>
            <w:r w:rsidRPr="004F7163">
              <w:rPr>
                <w:rFonts w:ascii="Arial" w:hAnsi="Arial" w:cs="Arial"/>
                <w:b/>
                <w:bCs/>
                <w:sz w:val="20"/>
                <w:szCs w:val="20"/>
              </w:rPr>
              <w:t>Zadłużenie łączne na dzień 31.12.2019 r.</w:t>
            </w:r>
          </w:p>
        </w:tc>
        <w:tc>
          <w:tcPr>
            <w:tcW w:w="3140"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20"/>
                <w:szCs w:val="20"/>
              </w:rPr>
            </w:pPr>
            <w:r w:rsidRPr="004F7163">
              <w:rPr>
                <w:rFonts w:ascii="Arial" w:hAnsi="Arial" w:cs="Arial"/>
                <w:b/>
                <w:bCs/>
                <w:sz w:val="20"/>
                <w:szCs w:val="20"/>
              </w:rPr>
              <w:t>21 934 771,35 zł</w:t>
            </w:r>
          </w:p>
        </w:tc>
      </w:tr>
    </w:tbl>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846"/>
      </w:tblGrid>
      <w:tr w:rsidR="004F7163" w:rsidRPr="004F7163">
        <w:trPr>
          <w:trHeight w:val="56"/>
        </w:trPr>
        <w:tc>
          <w:tcPr>
            <w:tcW w:w="4846" w:type="dxa"/>
            <w:tcBorders>
              <w:top w:val="nil"/>
              <w:left w:val="nil"/>
              <w:bottom w:val="nil"/>
              <w:right w:val="nil"/>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color w:val="000000"/>
                <w:sz w:val="20"/>
                <w:szCs w:val="20"/>
              </w:rPr>
            </w:pPr>
          </w:p>
        </w:tc>
      </w:tr>
    </w:tbl>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Źródło: Opracowanie własne</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b/>
          <w:bCs/>
          <w:sz w:val="20"/>
          <w:szCs w:val="20"/>
        </w:rPr>
        <w:t>8. Relacja z art. 243 ustawy o finansach publicznych</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Zgodnie z art. 243 ust. 1 ustawy z dnia 27 sierpnia 2009 r. o finansach publicznych (</w:t>
      </w:r>
      <w:proofErr w:type="spellStart"/>
      <w:r w:rsidRPr="004F7163">
        <w:rPr>
          <w:rFonts w:ascii="Arial" w:hAnsi="Arial" w:cs="Arial"/>
          <w:sz w:val="20"/>
          <w:szCs w:val="20"/>
        </w:rPr>
        <w:t>t.j</w:t>
      </w:r>
      <w:proofErr w:type="spellEnd"/>
      <w:r w:rsidRPr="004F7163">
        <w:rPr>
          <w:rFonts w:ascii="Arial" w:hAnsi="Arial" w:cs="Arial"/>
          <w:sz w:val="20"/>
          <w:szCs w:val="20"/>
        </w:rPr>
        <w:t>. Dz. U. z 2019 r. poz. 869 z </w:t>
      </w:r>
      <w:proofErr w:type="spellStart"/>
      <w:r w:rsidRPr="004F7163">
        <w:rPr>
          <w:rFonts w:ascii="Arial" w:hAnsi="Arial" w:cs="Arial"/>
          <w:sz w:val="20"/>
          <w:szCs w:val="20"/>
        </w:rPr>
        <w:t>późn</w:t>
      </w:r>
      <w:proofErr w:type="spellEnd"/>
      <w:r w:rsidRPr="004F7163">
        <w:rPr>
          <w:rFonts w:ascii="Arial" w:hAnsi="Arial" w:cs="Arial"/>
          <w:sz w:val="20"/>
          <w:szCs w:val="20"/>
        </w:rPr>
        <w:t>. zm.) od 1 stycznia 2014 r. obowiązuje indywidualny wskaźnik zadłużenia dla samorządów. Według przepisów roczna wartość spłat zobowiązań i ich obsługi do planowanych dochodów bieżących pomniejszonych o dotacje i środki przeznaczone na cele bieżące nie może przekroczyć wskaźnika maksymalnej obsługi zadłużenia uwzględniającego wyłączenia wskazane w art. 243 ust. 3, 3a oraz 3b powyższej ustawy.</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Od 1 stycznia 2020 r. wskaźnik faktycznej obsługi zadłużenia został uzupełniony o umowy, które wywołują skutki ekonomiczne podobne do kredytu, pożyczki, depozytu czy emisji papierów wartościowych (zaciągnięte po 1 stycznia 2019 roku). Włączenie do wskaźnika obsługi zadłużenia ww. umów dotyczy zarówno spłaty rat, jak również wydatków bieżących na ich obsługę (odsetki, prowizje, opłaty).</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Kształt indywidualnego wskaźnika obsługi zadłużenia został obliczony zgodnie z wytycznymi dla okresów dostosowawczych, tj.:</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40" w:lineRule="auto"/>
        <w:rPr>
          <w:rFonts w:ascii="Arial" w:hAnsi="Arial" w:cs="Arial"/>
          <w:sz w:val="20"/>
          <w:szCs w:val="20"/>
        </w:rPr>
      </w:pPr>
      <w:r w:rsidRPr="004F7163">
        <w:rPr>
          <w:rFonts w:ascii="Arial" w:hAnsi="Arial" w:cs="Arial"/>
          <w:sz w:val="20"/>
          <w:szCs w:val="20"/>
        </w:rPr>
        <w:tab/>
        <w:t>1. na lata 2020-2025 w oparciu o art. 9 ust. 1 ustawy z dnia 14 grudnia 2018 r. o zmianie ustawy o finansach publicznych oraz niektórych innych ustaw;</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ab/>
        <w:t>2. od roku 2026 w oparciu o art. 9 ust. 2 ustawy z dnia 14 grudnia 2018 r. o zmianie ustawy o finansach publicznych oraz niektórych innych ustaw.</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4F7163">
        <w:rPr>
          <w:rFonts w:ascii="Arial" w:hAnsi="Arial" w:cs="Arial"/>
          <w:b/>
          <w:bCs/>
          <w:sz w:val="20"/>
          <w:szCs w:val="20"/>
        </w:rPr>
        <w:t xml:space="preserve">Tabela 7. Kształtowanie się relacji z art. 243 </w:t>
      </w:r>
      <w:proofErr w:type="spellStart"/>
      <w:r w:rsidRPr="004F7163">
        <w:rPr>
          <w:rFonts w:ascii="Arial" w:hAnsi="Arial" w:cs="Arial"/>
          <w:b/>
          <w:bCs/>
          <w:sz w:val="20"/>
          <w:szCs w:val="20"/>
        </w:rPr>
        <w:t>uofp</w:t>
      </w:r>
      <w:proofErr w:type="spellEnd"/>
    </w:p>
    <w:tbl>
      <w:tblPr>
        <w:tblW w:w="0" w:type="auto"/>
        <w:tblInd w:w="10" w:type="dxa"/>
        <w:tblLayout w:type="fixed"/>
        <w:tblCellMar>
          <w:left w:w="10" w:type="dxa"/>
          <w:right w:w="10" w:type="dxa"/>
        </w:tblCellMar>
        <w:tblLook w:val="0000" w:firstRow="0" w:lastRow="0" w:firstColumn="0" w:lastColumn="0" w:noHBand="0" w:noVBand="0"/>
      </w:tblPr>
      <w:tblGrid>
        <w:gridCol w:w="2183"/>
        <w:gridCol w:w="1426"/>
        <w:gridCol w:w="1426"/>
        <w:gridCol w:w="1426"/>
        <w:gridCol w:w="1426"/>
        <w:gridCol w:w="1426"/>
      </w:tblGrid>
      <w:tr w:rsidR="004F7163" w:rsidRPr="004F7163">
        <w:tc>
          <w:tcPr>
            <w:tcW w:w="2183"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p>
        </w:tc>
        <w:tc>
          <w:tcPr>
            <w:tcW w:w="1426"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2020</w:t>
            </w:r>
          </w:p>
        </w:tc>
        <w:tc>
          <w:tcPr>
            <w:tcW w:w="1426"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2021</w:t>
            </w:r>
          </w:p>
        </w:tc>
        <w:tc>
          <w:tcPr>
            <w:tcW w:w="1426"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2022</w:t>
            </w:r>
          </w:p>
        </w:tc>
        <w:tc>
          <w:tcPr>
            <w:tcW w:w="1426"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2023</w:t>
            </w:r>
          </w:p>
        </w:tc>
        <w:tc>
          <w:tcPr>
            <w:tcW w:w="1426"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2024</w:t>
            </w:r>
          </w:p>
        </w:tc>
      </w:tr>
      <w:tr w:rsidR="004F7163" w:rsidRPr="004F7163">
        <w:tc>
          <w:tcPr>
            <w:tcW w:w="2183"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b/>
                <w:bCs/>
                <w:sz w:val="20"/>
                <w:szCs w:val="20"/>
              </w:rPr>
              <w:t xml:space="preserve">Obsługa zadłużenia (fakt. i plan. po </w:t>
            </w:r>
            <w:proofErr w:type="spellStart"/>
            <w:r w:rsidRPr="004F7163">
              <w:rPr>
                <w:rFonts w:ascii="Arial" w:hAnsi="Arial" w:cs="Arial"/>
                <w:b/>
                <w:bCs/>
                <w:sz w:val="20"/>
                <w:szCs w:val="20"/>
              </w:rPr>
              <w:t>wyłączeniach</w:t>
            </w:r>
            <w:proofErr w:type="spellEnd"/>
            <w:r w:rsidRPr="004F7163">
              <w:rPr>
                <w:rFonts w:ascii="Arial" w:hAnsi="Arial" w:cs="Arial"/>
                <w:b/>
                <w:bCs/>
                <w:sz w:val="20"/>
                <w:szCs w:val="20"/>
              </w:rPr>
              <w:t>)</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4,15%</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4,59%</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4,69%</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4,45%</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3,57%</w:t>
            </w:r>
          </w:p>
        </w:tc>
      </w:tr>
      <w:tr w:rsidR="004F7163" w:rsidRPr="004F7163">
        <w:tc>
          <w:tcPr>
            <w:tcW w:w="2183"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b/>
                <w:bCs/>
                <w:sz w:val="20"/>
                <w:szCs w:val="20"/>
              </w:rPr>
              <w:t>Maksymalna obsługa zadłużenia (wg planu po III kwartale 2019)</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8,10%</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5,07%</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4,70%</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5,45%</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6,63%</w:t>
            </w:r>
          </w:p>
        </w:tc>
      </w:tr>
      <w:tr w:rsidR="004F7163" w:rsidRPr="004F7163">
        <w:tc>
          <w:tcPr>
            <w:tcW w:w="2183"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b/>
                <w:bCs/>
                <w:sz w:val="20"/>
                <w:szCs w:val="20"/>
              </w:rPr>
              <w:t>Maksymalna obsługa zadłużenia (wg przewidywanego wykonania 2019)</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8,10%</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5,07%</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4,70%</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5,45%</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6,63%</w:t>
            </w:r>
          </w:p>
        </w:tc>
      </w:tr>
      <w:tr w:rsidR="004F7163" w:rsidRPr="004F7163">
        <w:tc>
          <w:tcPr>
            <w:tcW w:w="2183"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b/>
                <w:bCs/>
                <w:sz w:val="20"/>
                <w:szCs w:val="20"/>
              </w:rPr>
              <w:t>Zachowanie relacji z art. 243 (w oparciu o przewidywane wykonanie)</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Tak</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Tak</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Tak</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Tak</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Tak</w:t>
            </w:r>
          </w:p>
        </w:tc>
      </w:tr>
      <w:tr w:rsidR="004F7163" w:rsidRPr="004F7163">
        <w:tc>
          <w:tcPr>
            <w:tcW w:w="2183"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p>
        </w:tc>
        <w:tc>
          <w:tcPr>
            <w:tcW w:w="1426"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2025</w:t>
            </w:r>
          </w:p>
        </w:tc>
        <w:tc>
          <w:tcPr>
            <w:tcW w:w="1426"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2026</w:t>
            </w:r>
          </w:p>
        </w:tc>
        <w:tc>
          <w:tcPr>
            <w:tcW w:w="1426"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2027</w:t>
            </w:r>
          </w:p>
        </w:tc>
        <w:tc>
          <w:tcPr>
            <w:tcW w:w="1426"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2028</w:t>
            </w:r>
          </w:p>
        </w:tc>
        <w:tc>
          <w:tcPr>
            <w:tcW w:w="1426"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2029</w:t>
            </w:r>
          </w:p>
        </w:tc>
      </w:tr>
      <w:tr w:rsidR="004F7163" w:rsidRPr="004F7163">
        <w:tc>
          <w:tcPr>
            <w:tcW w:w="2183"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b/>
                <w:bCs/>
                <w:sz w:val="20"/>
                <w:szCs w:val="20"/>
              </w:rPr>
              <w:t xml:space="preserve">Obsługa zadłużenia </w:t>
            </w:r>
            <w:r w:rsidRPr="004F7163">
              <w:rPr>
                <w:rFonts w:ascii="Arial" w:hAnsi="Arial" w:cs="Arial"/>
                <w:b/>
                <w:bCs/>
                <w:sz w:val="20"/>
                <w:szCs w:val="20"/>
              </w:rPr>
              <w:lastRenderedPageBreak/>
              <w:t xml:space="preserve">(fakt. i plan. po </w:t>
            </w:r>
            <w:proofErr w:type="spellStart"/>
            <w:r w:rsidRPr="004F7163">
              <w:rPr>
                <w:rFonts w:ascii="Arial" w:hAnsi="Arial" w:cs="Arial"/>
                <w:b/>
                <w:bCs/>
                <w:sz w:val="20"/>
                <w:szCs w:val="20"/>
              </w:rPr>
              <w:t>wyłączeniach</w:t>
            </w:r>
            <w:proofErr w:type="spellEnd"/>
            <w:r w:rsidRPr="004F7163">
              <w:rPr>
                <w:rFonts w:ascii="Arial" w:hAnsi="Arial" w:cs="Arial"/>
                <w:b/>
                <w:bCs/>
                <w:sz w:val="20"/>
                <w:szCs w:val="20"/>
              </w:rPr>
              <w:t>)</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lastRenderedPageBreak/>
              <w:t>3,21%</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2,44%</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2,32%</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2,02%</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1,63%</w:t>
            </w:r>
          </w:p>
        </w:tc>
      </w:tr>
      <w:tr w:rsidR="004F7163" w:rsidRPr="004F7163">
        <w:tc>
          <w:tcPr>
            <w:tcW w:w="2183"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b/>
                <w:bCs/>
                <w:sz w:val="20"/>
                <w:szCs w:val="20"/>
              </w:rPr>
              <w:lastRenderedPageBreak/>
              <w:t>Maksymalna obsługa zadłużenia (wg planu po III kwartale 2019)</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7,71%</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6,76%</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8,10%</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9,58%</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10,47%</w:t>
            </w:r>
          </w:p>
        </w:tc>
      </w:tr>
      <w:tr w:rsidR="004F7163" w:rsidRPr="004F7163">
        <w:tc>
          <w:tcPr>
            <w:tcW w:w="2183"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b/>
                <w:bCs/>
                <w:sz w:val="20"/>
                <w:szCs w:val="20"/>
              </w:rPr>
              <w:t>Maksymalna obsługa zadłużenia (wg przewidywanego wykonania 2019)</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7,71%</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6,76%</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8,10%</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9,58%</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10,47%</w:t>
            </w:r>
          </w:p>
        </w:tc>
      </w:tr>
      <w:tr w:rsidR="004F7163" w:rsidRPr="004F7163">
        <w:tc>
          <w:tcPr>
            <w:tcW w:w="2183"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b/>
                <w:bCs/>
                <w:sz w:val="20"/>
                <w:szCs w:val="20"/>
              </w:rPr>
              <w:t>Zachowanie relacji z art. 243 (w oparciu o przewidywane wykonanie)</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Tak</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Tak</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Tak</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Tak</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Tak</w:t>
            </w:r>
          </w:p>
        </w:tc>
      </w:tr>
      <w:tr w:rsidR="004F7163" w:rsidRPr="004F7163">
        <w:tc>
          <w:tcPr>
            <w:tcW w:w="2183"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p>
        </w:tc>
        <w:tc>
          <w:tcPr>
            <w:tcW w:w="1426"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2030</w:t>
            </w:r>
          </w:p>
        </w:tc>
        <w:tc>
          <w:tcPr>
            <w:tcW w:w="1426"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2031</w:t>
            </w:r>
          </w:p>
        </w:tc>
        <w:tc>
          <w:tcPr>
            <w:tcW w:w="1426"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2032</w:t>
            </w:r>
          </w:p>
        </w:tc>
        <w:tc>
          <w:tcPr>
            <w:tcW w:w="1426"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2033</w:t>
            </w:r>
          </w:p>
        </w:tc>
        <w:tc>
          <w:tcPr>
            <w:tcW w:w="1426"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2034</w:t>
            </w:r>
          </w:p>
        </w:tc>
      </w:tr>
      <w:tr w:rsidR="004F7163" w:rsidRPr="004F7163">
        <w:tc>
          <w:tcPr>
            <w:tcW w:w="2183"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b/>
                <w:bCs/>
                <w:sz w:val="20"/>
                <w:szCs w:val="20"/>
              </w:rPr>
              <w:t xml:space="preserve">Obsługa zadłużenia (fakt. i plan. po </w:t>
            </w:r>
            <w:proofErr w:type="spellStart"/>
            <w:r w:rsidRPr="004F7163">
              <w:rPr>
                <w:rFonts w:ascii="Arial" w:hAnsi="Arial" w:cs="Arial"/>
                <w:b/>
                <w:bCs/>
                <w:sz w:val="20"/>
                <w:szCs w:val="20"/>
              </w:rPr>
              <w:t>wyłączeniach</w:t>
            </w:r>
            <w:proofErr w:type="spellEnd"/>
            <w:r w:rsidRPr="004F7163">
              <w:rPr>
                <w:rFonts w:ascii="Arial" w:hAnsi="Arial" w:cs="Arial"/>
                <w:b/>
                <w:bCs/>
                <w:sz w:val="20"/>
                <w:szCs w:val="20"/>
              </w:rPr>
              <w:t>)</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1,55%</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2,13%</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2,03%</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1,93%</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1,21%</w:t>
            </w:r>
          </w:p>
        </w:tc>
      </w:tr>
      <w:tr w:rsidR="004F7163" w:rsidRPr="004F7163">
        <w:tc>
          <w:tcPr>
            <w:tcW w:w="2183"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b/>
                <w:bCs/>
                <w:sz w:val="20"/>
                <w:szCs w:val="20"/>
              </w:rPr>
              <w:t>Maksymalna obsługa zadłużenia (wg planu po III kwartale 2019)</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11,37%</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12,03%</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12,46%</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12,79%</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13,00%</w:t>
            </w:r>
          </w:p>
        </w:tc>
      </w:tr>
      <w:tr w:rsidR="004F7163" w:rsidRPr="004F7163">
        <w:tc>
          <w:tcPr>
            <w:tcW w:w="2183"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b/>
                <w:bCs/>
                <w:sz w:val="20"/>
                <w:szCs w:val="20"/>
              </w:rPr>
              <w:t>Maksymalna obsługa zadłużenia (wg przewidywanego wykonania 2019)</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11,37%</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12,03%</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12,46%</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12,79%</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13,00%</w:t>
            </w:r>
          </w:p>
        </w:tc>
      </w:tr>
      <w:tr w:rsidR="004F7163" w:rsidRPr="004F7163">
        <w:tc>
          <w:tcPr>
            <w:tcW w:w="2183"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b/>
                <w:bCs/>
                <w:sz w:val="20"/>
                <w:szCs w:val="20"/>
              </w:rPr>
              <w:t>Zachowanie relacji z art. 243 (w oparciu o przewidywane wykonanie)</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Tak</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Tak</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Tak</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Tak</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Tak</w:t>
            </w:r>
          </w:p>
        </w:tc>
      </w:tr>
      <w:tr w:rsidR="004F7163" w:rsidRPr="004F7163">
        <w:tc>
          <w:tcPr>
            <w:tcW w:w="2183"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p>
        </w:tc>
        <w:tc>
          <w:tcPr>
            <w:tcW w:w="1426"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2035</w:t>
            </w:r>
          </w:p>
        </w:tc>
        <w:tc>
          <w:tcPr>
            <w:tcW w:w="1426"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2036</w:t>
            </w:r>
          </w:p>
        </w:tc>
        <w:tc>
          <w:tcPr>
            <w:tcW w:w="1426" w:type="dxa"/>
            <w:tcBorders>
              <w:top w:val="single" w:sz="4" w:space="0" w:color="auto"/>
              <w:left w:val="single" w:sz="4" w:space="0" w:color="auto"/>
              <w:bottom w:val="single" w:sz="4" w:space="0" w:color="auto"/>
              <w:right w:val="single" w:sz="4" w:space="0" w:color="auto"/>
            </w:tcBorders>
            <w:vAlign w:val="bottom"/>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4F7163">
              <w:rPr>
                <w:rFonts w:ascii="Arial" w:hAnsi="Arial" w:cs="Arial"/>
                <w:b/>
                <w:bCs/>
                <w:sz w:val="20"/>
                <w:szCs w:val="20"/>
              </w:rPr>
              <w:t>2037</w:t>
            </w:r>
          </w:p>
        </w:tc>
        <w:tc>
          <w:tcPr>
            <w:tcW w:w="2852" w:type="dxa"/>
            <w:gridSpan w:val="2"/>
            <w:vMerge w:val="restart"/>
            <w:tcBorders>
              <w:top w:val="single" w:sz="4" w:space="0" w:color="auto"/>
              <w:left w:val="single" w:sz="4" w:space="0" w:color="auto"/>
              <w:bottom w:val="nil"/>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p>
        </w:tc>
      </w:tr>
      <w:tr w:rsidR="004F7163" w:rsidRPr="004F7163">
        <w:tc>
          <w:tcPr>
            <w:tcW w:w="2183"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b/>
                <w:bCs/>
                <w:sz w:val="20"/>
                <w:szCs w:val="20"/>
              </w:rPr>
              <w:t xml:space="preserve">Obsługa zadłużenia (fakt. i plan. po </w:t>
            </w:r>
            <w:proofErr w:type="spellStart"/>
            <w:r w:rsidRPr="004F7163">
              <w:rPr>
                <w:rFonts w:ascii="Arial" w:hAnsi="Arial" w:cs="Arial"/>
                <w:b/>
                <w:bCs/>
                <w:sz w:val="20"/>
                <w:szCs w:val="20"/>
              </w:rPr>
              <w:t>wyłączeniach</w:t>
            </w:r>
            <w:proofErr w:type="spellEnd"/>
            <w:r w:rsidRPr="004F7163">
              <w:rPr>
                <w:rFonts w:ascii="Arial" w:hAnsi="Arial" w:cs="Arial"/>
                <w:b/>
                <w:bCs/>
                <w:sz w:val="20"/>
                <w:szCs w:val="20"/>
              </w:rPr>
              <w:t>)</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1,16%</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1,10%</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1,18%</w:t>
            </w:r>
          </w:p>
        </w:tc>
        <w:tc>
          <w:tcPr>
            <w:tcW w:w="2852" w:type="dxa"/>
            <w:gridSpan w:val="2"/>
            <w:vMerge/>
            <w:tcBorders>
              <w:top w:val="nil"/>
              <w:left w:val="single" w:sz="4" w:space="0" w:color="auto"/>
              <w:bottom w:val="single" w:sz="4" w:space="0" w:color="auto"/>
              <w:right w:val="single" w:sz="4" w:space="0" w:color="auto"/>
            </w:tcBorders>
          </w:tcPr>
          <w:p w:rsidR="004F7163" w:rsidRPr="004F7163" w:rsidRDefault="004F7163" w:rsidP="004F7163">
            <w:pPr>
              <w:widowControl w:val="0"/>
              <w:autoSpaceDE w:val="0"/>
              <w:autoSpaceDN w:val="0"/>
              <w:adjustRightInd w:val="0"/>
              <w:spacing w:after="0" w:line="240" w:lineRule="auto"/>
              <w:rPr>
                <w:rFonts w:ascii="Arial" w:hAnsi="Arial" w:cs="Arial"/>
                <w:sz w:val="20"/>
                <w:szCs w:val="20"/>
              </w:rPr>
            </w:pPr>
          </w:p>
        </w:tc>
      </w:tr>
      <w:tr w:rsidR="004F7163" w:rsidRPr="004F7163">
        <w:tc>
          <w:tcPr>
            <w:tcW w:w="2183"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b/>
                <w:bCs/>
                <w:sz w:val="20"/>
                <w:szCs w:val="20"/>
              </w:rPr>
              <w:t>Maksymalna obsługa zadłużenia (wg planu po III kwartale 2019)</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13,09%</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13,07%</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12,96%</w:t>
            </w:r>
          </w:p>
        </w:tc>
        <w:tc>
          <w:tcPr>
            <w:tcW w:w="2852" w:type="dxa"/>
            <w:gridSpan w:val="2"/>
            <w:vMerge/>
            <w:tcBorders>
              <w:top w:val="nil"/>
              <w:left w:val="single" w:sz="4" w:space="0" w:color="auto"/>
              <w:bottom w:val="single" w:sz="4" w:space="0" w:color="auto"/>
              <w:right w:val="single" w:sz="4" w:space="0" w:color="auto"/>
            </w:tcBorders>
          </w:tcPr>
          <w:p w:rsidR="004F7163" w:rsidRPr="004F7163" w:rsidRDefault="004F7163" w:rsidP="004F7163">
            <w:pPr>
              <w:widowControl w:val="0"/>
              <w:autoSpaceDE w:val="0"/>
              <w:autoSpaceDN w:val="0"/>
              <w:adjustRightInd w:val="0"/>
              <w:spacing w:after="0" w:line="240" w:lineRule="auto"/>
              <w:rPr>
                <w:rFonts w:ascii="Arial" w:hAnsi="Arial" w:cs="Arial"/>
                <w:sz w:val="20"/>
                <w:szCs w:val="20"/>
              </w:rPr>
            </w:pPr>
          </w:p>
        </w:tc>
      </w:tr>
      <w:tr w:rsidR="004F7163" w:rsidRPr="004F7163">
        <w:tc>
          <w:tcPr>
            <w:tcW w:w="2183"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b/>
                <w:bCs/>
                <w:sz w:val="20"/>
                <w:szCs w:val="20"/>
              </w:rPr>
              <w:t>Maksymalna obsługa zadłużenia (wg przewidywanego wykonania 2019)</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13,09%</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13,07%</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12,96%</w:t>
            </w:r>
          </w:p>
        </w:tc>
        <w:tc>
          <w:tcPr>
            <w:tcW w:w="2852" w:type="dxa"/>
            <w:gridSpan w:val="2"/>
            <w:vMerge/>
            <w:tcBorders>
              <w:top w:val="nil"/>
              <w:left w:val="single" w:sz="4" w:space="0" w:color="auto"/>
              <w:bottom w:val="single" w:sz="4" w:space="0" w:color="auto"/>
              <w:right w:val="single" w:sz="4" w:space="0" w:color="auto"/>
            </w:tcBorders>
          </w:tcPr>
          <w:p w:rsidR="004F7163" w:rsidRPr="004F7163" w:rsidRDefault="004F7163" w:rsidP="004F7163">
            <w:pPr>
              <w:widowControl w:val="0"/>
              <w:autoSpaceDE w:val="0"/>
              <w:autoSpaceDN w:val="0"/>
              <w:adjustRightInd w:val="0"/>
              <w:spacing w:after="0" w:line="240" w:lineRule="auto"/>
              <w:rPr>
                <w:rFonts w:ascii="Arial" w:hAnsi="Arial" w:cs="Arial"/>
                <w:sz w:val="20"/>
                <w:szCs w:val="20"/>
              </w:rPr>
            </w:pPr>
          </w:p>
        </w:tc>
      </w:tr>
      <w:tr w:rsidR="004F7163" w:rsidRPr="004F7163">
        <w:tc>
          <w:tcPr>
            <w:tcW w:w="2183"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F7163">
              <w:rPr>
                <w:rFonts w:ascii="Arial" w:hAnsi="Arial" w:cs="Arial"/>
                <w:b/>
                <w:bCs/>
                <w:sz w:val="20"/>
                <w:szCs w:val="20"/>
              </w:rPr>
              <w:t>Zachowanie relacji z art. 243 (w oparciu o przewidywane wykonanie)</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Tak</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Tak</w:t>
            </w:r>
          </w:p>
        </w:tc>
        <w:tc>
          <w:tcPr>
            <w:tcW w:w="1426" w:type="dxa"/>
            <w:tcBorders>
              <w:top w:val="single" w:sz="4" w:space="0" w:color="auto"/>
              <w:left w:val="single" w:sz="4" w:space="0" w:color="auto"/>
              <w:bottom w:val="single" w:sz="4" w:space="0" w:color="auto"/>
              <w:right w:val="single" w:sz="4" w:space="0" w:color="auto"/>
            </w:tcBorders>
          </w:tcPr>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4F7163">
              <w:rPr>
                <w:rFonts w:ascii="Arial" w:hAnsi="Arial" w:cs="Arial"/>
                <w:sz w:val="20"/>
                <w:szCs w:val="20"/>
              </w:rPr>
              <w:t>Tak</w:t>
            </w:r>
          </w:p>
        </w:tc>
        <w:tc>
          <w:tcPr>
            <w:tcW w:w="2852" w:type="dxa"/>
            <w:gridSpan w:val="2"/>
            <w:vMerge/>
            <w:tcBorders>
              <w:top w:val="nil"/>
              <w:left w:val="single" w:sz="4" w:space="0" w:color="auto"/>
              <w:bottom w:val="nil"/>
              <w:right w:val="single" w:sz="4" w:space="0" w:color="auto"/>
            </w:tcBorders>
            <w:vAlign w:val="center"/>
          </w:tcPr>
          <w:p w:rsidR="004F7163" w:rsidRPr="004F7163" w:rsidRDefault="004F7163" w:rsidP="004F7163">
            <w:pPr>
              <w:widowControl w:val="0"/>
              <w:autoSpaceDE w:val="0"/>
              <w:autoSpaceDN w:val="0"/>
              <w:adjustRightInd w:val="0"/>
              <w:spacing w:after="0" w:line="240" w:lineRule="auto"/>
              <w:rPr>
                <w:rFonts w:ascii="Arial" w:hAnsi="Arial" w:cs="Arial"/>
                <w:sz w:val="20"/>
                <w:szCs w:val="20"/>
              </w:rPr>
            </w:pPr>
          </w:p>
        </w:tc>
      </w:tr>
    </w:tbl>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Źródło: Opracowanie własne.</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rPr>
          <w:rFonts w:ascii="Arial" w:hAnsi="Arial" w:cs="Arial"/>
          <w:sz w:val="20"/>
          <w:szCs w:val="20"/>
        </w:rPr>
      </w:pP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rPr>
          <w:rFonts w:ascii="Arial" w:hAnsi="Arial" w:cs="Arial"/>
          <w:b/>
          <w:bCs/>
          <w:sz w:val="20"/>
          <w:szCs w:val="20"/>
        </w:rPr>
      </w:pPr>
      <w:r w:rsidRPr="004F7163">
        <w:rPr>
          <w:rFonts w:ascii="Arial" w:hAnsi="Arial" w:cs="Arial"/>
          <w:b/>
          <w:bCs/>
          <w:sz w:val="20"/>
          <w:szCs w:val="20"/>
        </w:rPr>
        <w:t>9. Objaśnienia dotyczące ujętych przedsięwzięć wieloletnich</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rPr>
          <w:rFonts w:ascii="Arial" w:hAnsi="Arial" w:cs="Arial"/>
          <w:sz w:val="20"/>
          <w:szCs w:val="20"/>
        </w:rPr>
      </w:pPr>
      <w:r w:rsidRPr="004F7163">
        <w:rPr>
          <w:rFonts w:ascii="Arial" w:hAnsi="Arial" w:cs="Arial"/>
          <w:sz w:val="20"/>
          <w:szCs w:val="20"/>
        </w:rPr>
        <w:t>Przedsięwzięcia wieloletnie przewidziane do realizacji w okresie objętym prognozą przedstawia załącznik nr 2 do uchwały.</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rPr>
          <w:rFonts w:ascii="Arial" w:hAnsi="Arial" w:cs="Arial"/>
          <w:sz w:val="20"/>
          <w:szCs w:val="20"/>
        </w:rPr>
      </w:pPr>
      <w:r w:rsidRPr="004F7163">
        <w:rPr>
          <w:rFonts w:ascii="Arial" w:hAnsi="Arial" w:cs="Arial"/>
          <w:sz w:val="20"/>
          <w:szCs w:val="20"/>
        </w:rPr>
        <w:t>W ramach załącznika określającego przedsięwzięcia wieloletnie  w zakresie wydatków na programy, projekty lub zadania pozostałe o charakterze majątkowym dokonano zmian  w zadaniach :</w:t>
      </w:r>
    </w:p>
    <w:p w:rsidR="004F7163" w:rsidRPr="004F7163" w:rsidRDefault="004F7163" w:rsidP="004F7163">
      <w:pPr>
        <w:widowControl w:val="0"/>
        <w:numPr>
          <w:ilvl w:val="0"/>
          <w:numId w:val="2"/>
        </w:num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lastRenderedPageBreak/>
        <w:t>„Budowa drogi Długiej i Seminarialnej w Rogoźnie” z okresem realizacji w latach 2019-2020.  Łączne nakłady finansowe po proponowanych zmianach  wynoszą 4 462 760,35 zł, z czego limit na 2019 rok – 2 619 297,00 zł, a na 2020 rok – 1 843 463,35 zł. Limit zobowiązań wynosi 1 843 463,35 zł.</w:t>
      </w:r>
    </w:p>
    <w:p w:rsidR="004F7163" w:rsidRPr="004F7163" w:rsidRDefault="004F7163" w:rsidP="004F7163">
      <w:pPr>
        <w:widowControl w:val="0"/>
        <w:numPr>
          <w:ilvl w:val="0"/>
          <w:numId w:val="2"/>
        </w:num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 xml:space="preserve">„Zakup nieruchomości od SM w Obornikach” z okresem realizacji w latach 2018-2020. Limit zobowiązań po zmianach wynosi 157 500,00 zł. </w:t>
      </w:r>
    </w:p>
    <w:p w:rsidR="004F7163" w:rsidRPr="004F7163" w:rsidRDefault="004F7163" w:rsidP="004F71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240" w:lineRule="auto"/>
        <w:jc w:val="both"/>
        <w:rPr>
          <w:rFonts w:ascii="Arial" w:hAnsi="Arial" w:cs="Arial"/>
          <w:sz w:val="20"/>
          <w:szCs w:val="20"/>
        </w:rPr>
      </w:pPr>
      <w:r w:rsidRPr="004F7163">
        <w:rPr>
          <w:rFonts w:ascii="Arial" w:hAnsi="Arial" w:cs="Arial"/>
          <w:sz w:val="20"/>
          <w:szCs w:val="20"/>
        </w:rPr>
        <w:t xml:space="preserve">Pozostałe przedsięwzięcia wieloletnie występują w obowiązującej Wieloletniej Prognozie Finansowej Gminy Rogoźno na lata 2019-2037. </w:t>
      </w:r>
    </w:p>
    <w:p w:rsidR="004F7163" w:rsidRPr="004F7163" w:rsidRDefault="004F7163" w:rsidP="004F71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Arial" w:hAnsi="Arial" w:cs="Arial"/>
          <w:sz w:val="20"/>
          <w:szCs w:val="20"/>
        </w:rPr>
      </w:pPr>
    </w:p>
    <w:p w:rsidR="00175392" w:rsidRDefault="00175392">
      <w:bookmarkStart w:id="0" w:name="_GoBack"/>
      <w:bookmarkEnd w:id="0"/>
    </w:p>
    <w:sectPr w:rsidR="00175392" w:rsidSect="000B4ADB">
      <w:pgSz w:w="12240" w:h="15840"/>
      <w:pgMar w:top="1440" w:right="1800" w:bottom="1440" w:left="1800"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360" w:hanging="360"/>
      </w:pPr>
      <w:rPr>
        <w:rFonts w:ascii="Arial" w:hAnsi="Arial" w:cs="Arial"/>
        <w:b/>
        <w:bCs/>
        <w:i w:val="0"/>
        <w:iCs w:val="0"/>
        <w:strike w:val="0"/>
        <w:color w:val="auto"/>
        <w:sz w:val="20"/>
        <w:szCs w:val="20"/>
        <w:u w:val="none"/>
      </w:rPr>
    </w:lvl>
    <w:lvl w:ilvl="1">
      <w:start w:val="1"/>
      <w:numFmt w:val="decimal"/>
      <w:lvlText w:val="%2."/>
      <w:lvlJc w:val="left"/>
      <w:pPr>
        <w:ind w:left="720" w:hanging="360"/>
      </w:pPr>
      <w:rPr>
        <w:rFonts w:ascii="Arial" w:hAnsi="Arial" w:cs="Arial"/>
        <w:b/>
        <w:bCs/>
        <w:i w:val="0"/>
        <w:iCs w:val="0"/>
        <w:strike w:val="0"/>
        <w:color w:val="auto"/>
        <w:sz w:val="20"/>
        <w:szCs w:val="20"/>
        <w:u w:val="none"/>
      </w:rPr>
    </w:lvl>
    <w:lvl w:ilvl="2">
      <w:start w:val="1"/>
      <w:numFmt w:val="decimal"/>
      <w:lvlText w:val="%3."/>
      <w:lvlJc w:val="left"/>
      <w:pPr>
        <w:ind w:left="1080" w:hanging="360"/>
      </w:pPr>
      <w:rPr>
        <w:rFonts w:ascii="Arial" w:hAnsi="Arial" w:cs="Arial"/>
        <w:b/>
        <w:bCs/>
        <w:i w:val="0"/>
        <w:iCs w:val="0"/>
        <w:strike w:val="0"/>
        <w:color w:val="auto"/>
        <w:sz w:val="20"/>
        <w:szCs w:val="20"/>
        <w:u w:val="none"/>
      </w:rPr>
    </w:lvl>
    <w:lvl w:ilvl="3">
      <w:start w:val="1"/>
      <w:numFmt w:val="decimal"/>
      <w:lvlText w:val="%4."/>
      <w:lvlJc w:val="left"/>
      <w:pPr>
        <w:ind w:left="1440" w:hanging="360"/>
      </w:pPr>
      <w:rPr>
        <w:rFonts w:ascii="Arial" w:hAnsi="Arial" w:cs="Arial"/>
        <w:b/>
        <w:bCs/>
        <w:i w:val="0"/>
        <w:iCs w:val="0"/>
        <w:strike w:val="0"/>
        <w:color w:val="auto"/>
        <w:sz w:val="20"/>
        <w:szCs w:val="20"/>
        <w:u w:val="none"/>
      </w:rPr>
    </w:lvl>
    <w:lvl w:ilvl="4">
      <w:start w:val="1"/>
      <w:numFmt w:val="decimal"/>
      <w:lvlText w:val="%5."/>
      <w:lvlJc w:val="left"/>
      <w:pPr>
        <w:ind w:left="1800" w:hanging="360"/>
      </w:pPr>
      <w:rPr>
        <w:rFonts w:ascii="Arial" w:hAnsi="Arial" w:cs="Arial"/>
        <w:b/>
        <w:bCs/>
        <w:i w:val="0"/>
        <w:iCs w:val="0"/>
        <w:strike w:val="0"/>
        <w:color w:val="auto"/>
        <w:sz w:val="20"/>
        <w:szCs w:val="20"/>
        <w:u w:val="none"/>
      </w:rPr>
    </w:lvl>
    <w:lvl w:ilvl="5">
      <w:start w:val="1"/>
      <w:numFmt w:val="decimal"/>
      <w:lvlText w:val="%6."/>
      <w:lvlJc w:val="left"/>
      <w:pPr>
        <w:ind w:left="2160" w:hanging="360"/>
      </w:pPr>
      <w:rPr>
        <w:rFonts w:ascii="Arial" w:hAnsi="Arial" w:cs="Arial"/>
        <w:b/>
        <w:bCs/>
        <w:i w:val="0"/>
        <w:iCs w:val="0"/>
        <w:strike w:val="0"/>
        <w:color w:val="auto"/>
        <w:sz w:val="20"/>
        <w:szCs w:val="20"/>
        <w:u w:val="none"/>
      </w:rPr>
    </w:lvl>
    <w:lvl w:ilvl="6">
      <w:start w:val="1"/>
      <w:numFmt w:val="decimal"/>
      <w:lvlText w:val="%7."/>
      <w:lvlJc w:val="left"/>
      <w:pPr>
        <w:ind w:left="2520" w:hanging="360"/>
      </w:pPr>
      <w:rPr>
        <w:rFonts w:ascii="Arial" w:hAnsi="Arial" w:cs="Arial"/>
        <w:b/>
        <w:bCs/>
        <w:i w:val="0"/>
        <w:iCs w:val="0"/>
        <w:strike w:val="0"/>
        <w:color w:val="auto"/>
        <w:sz w:val="20"/>
        <w:szCs w:val="20"/>
        <w:u w:val="none"/>
      </w:rPr>
    </w:lvl>
    <w:lvl w:ilvl="7">
      <w:start w:val="1"/>
      <w:numFmt w:val="decimal"/>
      <w:lvlText w:val="%8."/>
      <w:lvlJc w:val="left"/>
      <w:pPr>
        <w:ind w:left="2880" w:hanging="360"/>
      </w:pPr>
      <w:rPr>
        <w:rFonts w:ascii="Arial" w:hAnsi="Arial" w:cs="Arial"/>
        <w:b/>
        <w:bCs/>
        <w:i w:val="0"/>
        <w:iCs w:val="0"/>
        <w:strike w:val="0"/>
        <w:color w:val="auto"/>
        <w:sz w:val="20"/>
        <w:szCs w:val="20"/>
        <w:u w:val="none"/>
      </w:rPr>
    </w:lvl>
    <w:lvl w:ilvl="8">
      <w:start w:val="1"/>
      <w:numFmt w:val="decimal"/>
      <w:lvlText w:val="%9."/>
      <w:lvlJc w:val="left"/>
      <w:pPr>
        <w:ind w:left="3240" w:hanging="360"/>
      </w:pPr>
      <w:rPr>
        <w:rFonts w:ascii="Arial" w:hAnsi="Arial" w:cs="Arial"/>
        <w:b/>
        <w:bCs/>
        <w:i w:val="0"/>
        <w:iCs w:val="0"/>
        <w:strike w:val="0"/>
        <w:color w:val="auto"/>
        <w:sz w:val="20"/>
        <w:szCs w:val="20"/>
        <w:u w:val="none"/>
      </w:rPr>
    </w:lvl>
  </w:abstractNum>
  <w:abstractNum w:abstractNumId="1">
    <w:nsid w:val="00000002"/>
    <w:multiLevelType w:val="multilevel"/>
    <w:tmpl w:val="00000002"/>
    <w:lvl w:ilvl="0">
      <w:start w:val="1"/>
      <w:numFmt w:val="decimal"/>
      <w:lvlText w:val="%1)"/>
      <w:lvlJc w:val="left"/>
      <w:pPr>
        <w:ind w:left="786" w:hanging="360"/>
      </w:pPr>
      <w:rPr>
        <w:rFonts w:ascii="Arial" w:hAnsi="Arial" w:cs="Arial"/>
        <w:b w:val="0"/>
        <w:bCs w:val="0"/>
        <w:i w:val="0"/>
        <w:iCs w:val="0"/>
        <w:strike w:val="0"/>
        <w:color w:val="auto"/>
        <w:sz w:val="20"/>
        <w:szCs w:val="20"/>
        <w:u w:val="none"/>
      </w:rPr>
    </w:lvl>
    <w:lvl w:ilvl="1">
      <w:start w:val="1"/>
      <w:numFmt w:val="decimal"/>
      <w:lvlText w:val="%2)"/>
      <w:lvlJc w:val="left"/>
      <w:pPr>
        <w:ind w:left="1146" w:hanging="360"/>
      </w:pPr>
      <w:rPr>
        <w:rFonts w:ascii="Arial" w:hAnsi="Arial" w:cs="Arial"/>
        <w:b w:val="0"/>
        <w:bCs w:val="0"/>
        <w:i w:val="0"/>
        <w:iCs w:val="0"/>
        <w:strike w:val="0"/>
        <w:color w:val="auto"/>
        <w:sz w:val="20"/>
        <w:szCs w:val="20"/>
        <w:u w:val="none"/>
      </w:rPr>
    </w:lvl>
    <w:lvl w:ilvl="2">
      <w:start w:val="1"/>
      <w:numFmt w:val="decimal"/>
      <w:lvlText w:val="%3)"/>
      <w:lvlJc w:val="left"/>
      <w:pPr>
        <w:ind w:left="1506" w:hanging="360"/>
      </w:pPr>
      <w:rPr>
        <w:rFonts w:ascii="Arial" w:hAnsi="Arial" w:cs="Arial"/>
        <w:b w:val="0"/>
        <w:bCs w:val="0"/>
        <w:i w:val="0"/>
        <w:iCs w:val="0"/>
        <w:strike w:val="0"/>
        <w:color w:val="auto"/>
        <w:sz w:val="20"/>
        <w:szCs w:val="20"/>
        <w:u w:val="none"/>
      </w:rPr>
    </w:lvl>
    <w:lvl w:ilvl="3">
      <w:start w:val="1"/>
      <w:numFmt w:val="decimal"/>
      <w:lvlText w:val="%4)"/>
      <w:lvlJc w:val="left"/>
      <w:pPr>
        <w:ind w:left="1866" w:hanging="360"/>
      </w:pPr>
      <w:rPr>
        <w:rFonts w:ascii="Arial" w:hAnsi="Arial" w:cs="Arial"/>
        <w:b w:val="0"/>
        <w:bCs w:val="0"/>
        <w:i w:val="0"/>
        <w:iCs w:val="0"/>
        <w:strike w:val="0"/>
        <w:color w:val="auto"/>
        <w:sz w:val="20"/>
        <w:szCs w:val="20"/>
        <w:u w:val="none"/>
      </w:rPr>
    </w:lvl>
    <w:lvl w:ilvl="4">
      <w:start w:val="1"/>
      <w:numFmt w:val="decimal"/>
      <w:lvlText w:val="%5)"/>
      <w:lvlJc w:val="left"/>
      <w:pPr>
        <w:ind w:left="2226" w:hanging="360"/>
      </w:pPr>
      <w:rPr>
        <w:rFonts w:ascii="Arial" w:hAnsi="Arial" w:cs="Arial"/>
        <w:b w:val="0"/>
        <w:bCs w:val="0"/>
        <w:i w:val="0"/>
        <w:iCs w:val="0"/>
        <w:strike w:val="0"/>
        <w:color w:val="auto"/>
        <w:sz w:val="20"/>
        <w:szCs w:val="20"/>
        <w:u w:val="none"/>
      </w:rPr>
    </w:lvl>
    <w:lvl w:ilvl="5">
      <w:start w:val="1"/>
      <w:numFmt w:val="decimal"/>
      <w:lvlText w:val="%6)"/>
      <w:lvlJc w:val="left"/>
      <w:pPr>
        <w:ind w:left="2586" w:hanging="360"/>
      </w:pPr>
      <w:rPr>
        <w:rFonts w:ascii="Arial" w:hAnsi="Arial" w:cs="Arial"/>
        <w:b w:val="0"/>
        <w:bCs w:val="0"/>
        <w:i w:val="0"/>
        <w:iCs w:val="0"/>
        <w:strike w:val="0"/>
        <w:color w:val="auto"/>
        <w:sz w:val="20"/>
        <w:szCs w:val="20"/>
        <w:u w:val="none"/>
      </w:rPr>
    </w:lvl>
    <w:lvl w:ilvl="6">
      <w:start w:val="1"/>
      <w:numFmt w:val="decimal"/>
      <w:lvlText w:val="%7)"/>
      <w:lvlJc w:val="left"/>
      <w:pPr>
        <w:ind w:left="2946" w:hanging="360"/>
      </w:pPr>
      <w:rPr>
        <w:rFonts w:ascii="Arial" w:hAnsi="Arial" w:cs="Arial"/>
        <w:b w:val="0"/>
        <w:bCs w:val="0"/>
        <w:i w:val="0"/>
        <w:iCs w:val="0"/>
        <w:strike w:val="0"/>
        <w:color w:val="auto"/>
        <w:sz w:val="20"/>
        <w:szCs w:val="20"/>
        <w:u w:val="none"/>
      </w:rPr>
    </w:lvl>
    <w:lvl w:ilvl="7">
      <w:start w:val="1"/>
      <w:numFmt w:val="decimal"/>
      <w:lvlText w:val="%8)"/>
      <w:lvlJc w:val="left"/>
      <w:pPr>
        <w:ind w:left="3306" w:hanging="360"/>
      </w:pPr>
      <w:rPr>
        <w:rFonts w:ascii="Arial" w:hAnsi="Arial" w:cs="Arial"/>
        <w:b w:val="0"/>
        <w:bCs w:val="0"/>
        <w:i w:val="0"/>
        <w:iCs w:val="0"/>
        <w:strike w:val="0"/>
        <w:color w:val="auto"/>
        <w:sz w:val="20"/>
        <w:szCs w:val="20"/>
        <w:u w:val="none"/>
      </w:rPr>
    </w:lvl>
    <w:lvl w:ilvl="8">
      <w:start w:val="1"/>
      <w:numFmt w:val="decimal"/>
      <w:lvlText w:val="%9)"/>
      <w:lvlJc w:val="left"/>
      <w:pPr>
        <w:ind w:left="3666" w:hanging="360"/>
      </w:pPr>
      <w:rPr>
        <w:rFonts w:ascii="Arial" w:hAnsi="Arial" w:cs="Arial"/>
        <w:b w:val="0"/>
        <w:bCs w:val="0"/>
        <w:i w:val="0"/>
        <w:iCs w:val="0"/>
        <w:strike w:val="0"/>
        <w:color w:val="auto"/>
        <w:sz w:val="20"/>
        <w:szCs w:val="2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FB"/>
    <w:rsid w:val="00175392"/>
    <w:rsid w:val="004F7163"/>
    <w:rsid w:val="00C450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2792</Words>
  <Characters>16754</Characters>
  <Application>Microsoft Office Word</Application>
  <DocSecurity>0</DocSecurity>
  <Lines>139</Lines>
  <Paragraphs>39</Paragraphs>
  <ScaleCrop>false</ScaleCrop>
  <Company/>
  <LinksUpToDate>false</LinksUpToDate>
  <CharactersWithSpaces>19507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mkachlicka</dc:creator>
  <cp:keywords/>
  <dc:description/>
  <cp:lastModifiedBy>mkachlicka</cp:lastModifiedBy>
  <cp:revision>2</cp:revision>
  <dcterms:created xsi:type="dcterms:W3CDTF">2019-12-06T13:48:00Z</dcterms:created>
  <dcterms:modified xsi:type="dcterms:W3CDTF">2019-12-06T13:48:00Z</dcterms:modified>
</cp:coreProperties>
</file>