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B3E" w:rsidRDefault="006E204B">
      <w:pPr>
        <w:ind w:left="5669"/>
        <w:jc w:val="left"/>
        <w:rPr>
          <w:b/>
          <w:i/>
          <w:sz w:val="20"/>
          <w:u w:val="thick"/>
        </w:rPr>
      </w:pPr>
      <w:r>
        <w:rPr>
          <w:b/>
          <w:i/>
          <w:sz w:val="20"/>
          <w:u w:val="thick"/>
        </w:rPr>
        <w:t>Projekt</w:t>
      </w:r>
    </w:p>
    <w:p w:rsidR="00A77B3E" w:rsidRDefault="00A77B3E">
      <w:pPr>
        <w:ind w:left="5669"/>
        <w:jc w:val="left"/>
        <w:rPr>
          <w:b/>
          <w:i/>
          <w:sz w:val="20"/>
          <w:u w:val="thick"/>
        </w:rPr>
      </w:pPr>
    </w:p>
    <w:p w:rsidR="00A77B3E" w:rsidRDefault="006E204B">
      <w:pPr>
        <w:ind w:left="5669"/>
        <w:jc w:val="left"/>
        <w:rPr>
          <w:sz w:val="20"/>
        </w:rPr>
      </w:pPr>
      <w:r>
        <w:rPr>
          <w:sz w:val="20"/>
        </w:rPr>
        <w:t>z dnia  2 czerwca 2026 r.</w:t>
      </w:r>
    </w:p>
    <w:p w:rsidR="00A77B3E" w:rsidRDefault="006E204B">
      <w:pPr>
        <w:ind w:left="5669"/>
        <w:jc w:val="left"/>
        <w:rPr>
          <w:sz w:val="20"/>
        </w:rPr>
      </w:pPr>
      <w:r>
        <w:rPr>
          <w:sz w:val="20"/>
        </w:rPr>
        <w:t>Zatwierdzony przez .........................</w:t>
      </w:r>
    </w:p>
    <w:p w:rsidR="00A77B3E" w:rsidRDefault="00A77B3E">
      <w:pPr>
        <w:ind w:left="5669"/>
        <w:jc w:val="left"/>
        <w:rPr>
          <w:sz w:val="20"/>
        </w:rPr>
      </w:pPr>
    </w:p>
    <w:p w:rsidR="00A77B3E" w:rsidRDefault="00A77B3E">
      <w:pPr>
        <w:ind w:left="5669"/>
        <w:jc w:val="left"/>
        <w:rPr>
          <w:sz w:val="20"/>
        </w:rPr>
      </w:pPr>
    </w:p>
    <w:p w:rsidR="00A77B3E" w:rsidRDefault="006E204B">
      <w:pPr>
        <w:jc w:val="center"/>
        <w:rPr>
          <w:b/>
          <w:caps/>
        </w:rPr>
      </w:pPr>
      <w:r>
        <w:rPr>
          <w:b/>
          <w:caps/>
        </w:rPr>
        <w:t>Uchwała nr ....................</w:t>
      </w:r>
      <w:r>
        <w:rPr>
          <w:b/>
          <w:caps/>
        </w:rPr>
        <w:br/>
        <w:t>Rady Miejskiej w Rogoźnie</w:t>
      </w:r>
    </w:p>
    <w:p w:rsidR="00A77B3E" w:rsidRDefault="006E204B">
      <w:pPr>
        <w:spacing w:before="280" w:after="280"/>
        <w:jc w:val="center"/>
        <w:rPr>
          <w:b/>
          <w:caps/>
        </w:rPr>
      </w:pPr>
      <w:r>
        <w:rPr>
          <w:b/>
        </w:rPr>
        <w:t>z dnia 2 czerwca 2026 r.</w:t>
      </w:r>
    </w:p>
    <w:p w:rsidR="00A77B3E" w:rsidRDefault="006E204B">
      <w:pPr>
        <w:keepNext/>
        <w:spacing w:after="480"/>
        <w:jc w:val="center"/>
      </w:pPr>
      <w:r>
        <w:rPr>
          <w:b/>
        </w:rPr>
        <w:t>w sprawie zmiany uchwały nr XIV/143/2025 Rady Miejskiej w Rogoźnie</w:t>
      </w:r>
      <w:r>
        <w:rPr>
          <w:b/>
        </w:rPr>
        <w:br/>
        <w:t>z dnia 29 stycznia 2025</w:t>
      </w:r>
      <w:r>
        <w:rPr>
          <w:b/>
        </w:rPr>
        <w:t xml:space="preserve"> r. w sprawie zasad wynajmowania lokali wchodzących w skład mieszkaniowego zasobu Gminy Rogoźno</w:t>
      </w:r>
    </w:p>
    <w:p w:rsidR="00A77B3E" w:rsidRDefault="006E204B">
      <w:pPr>
        <w:keepLines/>
        <w:spacing w:before="120" w:after="120"/>
        <w:ind w:firstLine="227"/>
      </w:pPr>
      <w:r>
        <w:t>Na podstawie art. 18 ust. 2 pkt 15, art. 40 ust. 2 pkt 3 ustawy z dnia 8 marca 1990 roku o samorządzie gminnym (tekst jedn. Dz. U. z  2026 r., poz. 1153 ze zm.)</w:t>
      </w:r>
      <w:r>
        <w:t xml:space="preserve"> oraz art. 21 ust. 1 pkt 2 ustawy z dnia 21 czerwca 2001 roku o ochronie praw lokatorów, mieszkaniowym zasobie gminy i o zmianie Kodeksu cywilnego (tekst</w:t>
      </w:r>
      <w:r>
        <w:t>. jedn.</w:t>
      </w:r>
      <w:bookmarkStart w:id="0" w:name="_GoBack"/>
      <w:bookmarkEnd w:id="0"/>
      <w:r>
        <w:t xml:space="preserve"> Dz. U. z 2023 r. poz. 725) uchwala się, co następuje:</w:t>
      </w:r>
    </w:p>
    <w:p w:rsidR="00A77B3E" w:rsidRDefault="006E204B">
      <w:pPr>
        <w:keepLines/>
        <w:ind w:firstLine="340"/>
      </w:pPr>
      <w:r>
        <w:rPr>
          <w:b/>
        </w:rPr>
        <w:t>§ 1. </w:t>
      </w:r>
      <w:r>
        <w:t xml:space="preserve">W załączniku do uchwały nr XIV/143/2025 Rady </w:t>
      </w:r>
      <w:r>
        <w:t>Miejskiej w Rogoźnie w sprawie zasad wynajmowania lokali wchodzących w skład mieszkaniowego zasobu Gminy Rogoźno, § 15 otrzymuje brzmienie:</w:t>
      </w:r>
    </w:p>
    <w:p w:rsidR="00A77B3E" w:rsidRDefault="006E204B">
      <w:pPr>
        <w:keepLines/>
        <w:ind w:left="680" w:firstLine="227"/>
      </w:pPr>
      <w:r>
        <w:t>„</w:t>
      </w:r>
      <w:r>
        <w:t>§ 15. 1. </w:t>
      </w:r>
      <w:r>
        <w:t xml:space="preserve">Na wniosek osoby uprawnionej do zawarcia umowy najmu na czas nieoznaczony </w:t>
      </w:r>
      <w:r w:rsidR="00254C39">
        <w:t xml:space="preserve">znajdującej się na wykazie  </w:t>
      </w:r>
      <w:r>
        <w:t>o którym mowa w § 2 pkt 9 lub zakwalifikowanej do zamiany lokalu w mieszkaniowym zasobie gminy, Burmistrz może wyrazić zgodę na wykonanie przez tę osobę prac remontowych w lokalu z mieszkaniowego zasobu gminy.</w:t>
      </w:r>
    </w:p>
    <w:p w:rsidR="00A77B3E" w:rsidRDefault="006E204B">
      <w:pPr>
        <w:keepLines/>
        <w:ind w:left="680" w:firstLine="340"/>
      </w:pPr>
      <w:r>
        <w:t>2. </w:t>
      </w:r>
      <w:r>
        <w:t>Do remontu określonego w ust. 1 ma zas</w:t>
      </w:r>
      <w:r>
        <w:t>tosowanie §16 ust. 14, ust. 15, ust. 16, ust. 17.</w:t>
      </w:r>
      <w:r>
        <w:t>”</w:t>
      </w:r>
    </w:p>
    <w:p w:rsidR="00254C39" w:rsidRDefault="00254C39">
      <w:pPr>
        <w:keepLines/>
        <w:ind w:left="680" w:firstLine="340"/>
      </w:pPr>
    </w:p>
    <w:p w:rsidR="00A77B3E" w:rsidRDefault="006E204B">
      <w:pPr>
        <w:keepLines/>
        <w:ind w:firstLine="340"/>
      </w:pPr>
      <w:r>
        <w:rPr>
          <w:b/>
        </w:rPr>
        <w:t>§ 2. </w:t>
      </w:r>
      <w:r>
        <w:t>W załączniku do uchwały nr XIV/143/2025 Rady Miejskiej w Rogoźnie w sprawie zasad wynajmowania lokali wchodzących w skład mieszkaniowego zasobu Gminy Rogoźno, § 16 otrzymuje brzmienie:</w:t>
      </w:r>
    </w:p>
    <w:p w:rsidR="00254C39" w:rsidRDefault="00254C39">
      <w:pPr>
        <w:keepLines/>
        <w:ind w:firstLine="340"/>
      </w:pPr>
    </w:p>
    <w:p w:rsidR="00A77B3E" w:rsidRDefault="006E204B" w:rsidP="00254C39">
      <w:pPr>
        <w:keepLines/>
        <w:ind w:left="426"/>
      </w:pPr>
      <w:r>
        <w:t>„</w:t>
      </w:r>
      <w:r>
        <w:t>§ 16. 1. </w:t>
      </w:r>
      <w:r>
        <w:t>Loka</w:t>
      </w:r>
      <w:r>
        <w:t>le wymagające gruntownego remontu, którego odnowa przez Wynajmującego wymaga znacznych nakładów finansowych, mogą zostać zakwalifikowane do programu lokali do remontu we własnym zakresie.</w:t>
      </w:r>
    </w:p>
    <w:p w:rsidR="00A77B3E" w:rsidRDefault="006E204B" w:rsidP="00254C39">
      <w:pPr>
        <w:keepLines/>
        <w:ind w:left="851" w:hanging="284"/>
      </w:pPr>
      <w:r>
        <w:t>2. </w:t>
      </w:r>
      <w:r w:rsidR="00254C39">
        <w:t xml:space="preserve"> </w:t>
      </w:r>
      <w:r>
        <w:t>Lokale do remontu, przybliżony zakres robót budowlanych do wykona</w:t>
      </w:r>
      <w:r>
        <w:t>nia oraz szacunkowy koszt określa wynajmujący.</w:t>
      </w:r>
    </w:p>
    <w:p w:rsidR="00A77B3E" w:rsidRDefault="006E204B" w:rsidP="00254C39">
      <w:pPr>
        <w:keepLines/>
        <w:ind w:left="851" w:hanging="284"/>
      </w:pPr>
      <w:r>
        <w:t>3. </w:t>
      </w:r>
      <w:r w:rsidR="00254C39">
        <w:t xml:space="preserve"> </w:t>
      </w:r>
      <w:r>
        <w:t xml:space="preserve">Informacje o lokalach do remontu, każdorazowo podawane są do publicznej wiadomości na okres 21 dni, poprzez wywieszenie wykazu na tablicy ogłoszeń Urzędu Miejskiego, na stronie internetowej  bip.rogozno.pl </w:t>
      </w:r>
      <w:r>
        <w:t>oraz jednostce organizacyjnej gminy zarządzającymi mieszkaniowym zasobem gminy.</w:t>
      </w:r>
    </w:p>
    <w:p w:rsidR="00A77B3E" w:rsidRDefault="006E204B" w:rsidP="00254C39">
      <w:pPr>
        <w:keepLines/>
        <w:ind w:left="851" w:hanging="284"/>
      </w:pPr>
      <w:r>
        <w:t>4. </w:t>
      </w:r>
      <w:r w:rsidR="00254C39">
        <w:t xml:space="preserve"> </w:t>
      </w:r>
      <w:r>
        <w:t>Wykaz powinien zawierać w szczególności: adres lokalu, powierzchnię użytkową lokalu, charakterystykę lokalu, zakres prac do wykonania, szacunkowy koszt remontu, termin oględ</w:t>
      </w:r>
      <w:r>
        <w:t>zin lokalu, termin składania wniosków.</w:t>
      </w:r>
    </w:p>
    <w:p w:rsidR="00A77B3E" w:rsidRDefault="006E204B" w:rsidP="00254C39">
      <w:pPr>
        <w:keepLines/>
        <w:ind w:left="680" w:hanging="113"/>
      </w:pPr>
      <w:r>
        <w:t>5.</w:t>
      </w:r>
      <w:r w:rsidR="00254C39">
        <w:t xml:space="preserve"> </w:t>
      </w:r>
      <w:r>
        <w:t> </w:t>
      </w:r>
      <w:r>
        <w:t>Złożenie wniosku po terminie określonym na wykazie skutkuje pozostawienie wniosku bez rozpoznania.</w:t>
      </w:r>
    </w:p>
    <w:p w:rsidR="00A77B3E" w:rsidRDefault="006E204B" w:rsidP="00254C39">
      <w:pPr>
        <w:keepLines/>
        <w:ind w:left="851" w:hanging="284"/>
      </w:pPr>
      <w:r>
        <w:t>6. </w:t>
      </w:r>
      <w:r w:rsidR="00254C39">
        <w:t xml:space="preserve"> </w:t>
      </w:r>
      <w:r>
        <w:t>Wniosek o zakwalifikowanie do wykonania remontu mogą składać osoby, które spełniają łącznie następujące kryteria</w:t>
      </w:r>
      <w:r>
        <w:t>:</w:t>
      </w:r>
    </w:p>
    <w:p w:rsidR="00A77B3E" w:rsidRDefault="006E204B">
      <w:pPr>
        <w:ind w:left="1020" w:hanging="227"/>
      </w:pPr>
      <w:r>
        <w:t>1) </w:t>
      </w:r>
      <w:r>
        <w:t>zdeklarują wykonanie remontu na swój koszt i ryzyko;</w:t>
      </w:r>
    </w:p>
    <w:p w:rsidR="00A77B3E" w:rsidRDefault="006E204B">
      <w:pPr>
        <w:ind w:left="1020" w:hanging="227"/>
      </w:pPr>
      <w:r>
        <w:t>2) </w:t>
      </w:r>
      <w:r>
        <w:t>zamieszkują na terenie Gminy Rogoźno;</w:t>
      </w:r>
    </w:p>
    <w:p w:rsidR="00A77B3E" w:rsidRDefault="006E204B">
      <w:pPr>
        <w:ind w:left="1020" w:hanging="227"/>
      </w:pPr>
      <w:r>
        <w:t>3) </w:t>
      </w:r>
      <w:r>
        <w:t>zamieszkują w  lokalu niedostosowanym do ich potrzeb mieszkaniowych lub możliwości płatniczych;</w:t>
      </w:r>
    </w:p>
    <w:p w:rsidR="00A77B3E" w:rsidRDefault="006E204B">
      <w:pPr>
        <w:ind w:left="1020" w:hanging="227"/>
      </w:pPr>
      <w:r>
        <w:t>4) </w:t>
      </w:r>
      <w:r>
        <w:t xml:space="preserve">posiadają zdolność finansową do przeprowadzenia </w:t>
      </w:r>
      <w:r>
        <w:t>remontu, przy czym średni miesięczny dochód na jednego członka gospodarstwa domowego w okresie 3 miesięcy poprzedzających złożenie wniosku wynosi:</w:t>
      </w:r>
    </w:p>
    <w:p w:rsidR="00A77B3E" w:rsidRDefault="006E204B">
      <w:pPr>
        <w:keepLines/>
        <w:ind w:left="1247" w:hanging="227"/>
      </w:pPr>
      <w:r>
        <w:t>a) </w:t>
      </w:r>
      <w:r>
        <w:t xml:space="preserve">w gospodarstwie jednoosobowym - nie mniej niż 35%, lecz nie więcej niż  80% przeciętnego wynagrodzenia  w </w:t>
      </w:r>
      <w:r>
        <w:t>gospodarce narodowej;</w:t>
      </w:r>
    </w:p>
    <w:p w:rsidR="00A77B3E" w:rsidRDefault="006E204B">
      <w:pPr>
        <w:keepLines/>
        <w:ind w:left="1247" w:hanging="227"/>
      </w:pPr>
      <w:r>
        <w:t>b) </w:t>
      </w:r>
      <w:r>
        <w:t>w gospodarstwie wieloosobowym - nie mniej niż 25%, lecz nie więcej niż  65% przeciętnego wynagrodzenia w gospodarce narodowej;</w:t>
      </w:r>
    </w:p>
    <w:p w:rsidR="00A77B3E" w:rsidRDefault="006E204B">
      <w:pPr>
        <w:ind w:left="1020" w:hanging="227"/>
      </w:pPr>
      <w:r>
        <w:t>5) </w:t>
      </w:r>
      <w:r>
        <w:t>nie posiadają zaległości finansowych wobec wynajmującego;</w:t>
      </w:r>
    </w:p>
    <w:p w:rsidR="00A77B3E" w:rsidRDefault="006E204B">
      <w:pPr>
        <w:ind w:left="1020" w:hanging="227"/>
      </w:pPr>
      <w:r>
        <w:t>6) </w:t>
      </w:r>
      <w:r>
        <w:t>nie posiadają prawa własności lokalu mie</w:t>
      </w:r>
      <w:r>
        <w:t>szkalnego lub budynku.</w:t>
      </w:r>
    </w:p>
    <w:p w:rsidR="00A77B3E" w:rsidRDefault="006E204B">
      <w:pPr>
        <w:keepLines/>
        <w:ind w:left="680" w:firstLine="340"/>
      </w:pPr>
      <w:r>
        <w:lastRenderedPageBreak/>
        <w:t>7.</w:t>
      </w:r>
      <w:r>
        <w:t> </w:t>
      </w:r>
      <w:r>
        <w:t>Do wniosku należy załączyć:</w:t>
      </w:r>
    </w:p>
    <w:p w:rsidR="00A77B3E" w:rsidRDefault="006E204B" w:rsidP="00254C39">
      <w:pPr>
        <w:ind w:left="1020" w:firstLine="256"/>
      </w:pPr>
      <w:r>
        <w:t>1) </w:t>
      </w:r>
      <w:r>
        <w:t>deklarację o wysokości dochodów członków gospodarstwa domowego (z ostatnich 3 miesięcy);</w:t>
      </w:r>
    </w:p>
    <w:p w:rsidR="00A77B3E" w:rsidRDefault="006E204B" w:rsidP="00254C39">
      <w:pPr>
        <w:ind w:left="1020" w:firstLine="256"/>
      </w:pPr>
      <w:r>
        <w:t>2) </w:t>
      </w:r>
      <w:r>
        <w:t>oświadczenie o stanie majątkowym;</w:t>
      </w:r>
    </w:p>
    <w:p w:rsidR="00A77B3E" w:rsidRDefault="006E204B" w:rsidP="00254C39">
      <w:pPr>
        <w:ind w:left="1020" w:firstLine="256"/>
      </w:pPr>
      <w:r>
        <w:t>3) </w:t>
      </w:r>
      <w:r>
        <w:t>spis osób przewidzianych do wspólnego zamieszkania;</w:t>
      </w:r>
    </w:p>
    <w:p w:rsidR="00A77B3E" w:rsidRDefault="006E204B" w:rsidP="00254C39">
      <w:pPr>
        <w:ind w:left="1560" w:hanging="284"/>
      </w:pPr>
      <w:r>
        <w:t>4) </w:t>
      </w:r>
      <w:r>
        <w:t>pisemne oświadc</w:t>
      </w:r>
      <w:r>
        <w:t>zenie o posiadaniu środków finansowych na wykonanie pełnego zakresu remontu wskazanego w wykazie.</w:t>
      </w:r>
    </w:p>
    <w:p w:rsidR="00254C39" w:rsidRDefault="006E204B" w:rsidP="00254C39">
      <w:pPr>
        <w:keepLines/>
        <w:ind w:left="680" w:firstLine="340"/>
      </w:pPr>
      <w:r>
        <w:t>8. </w:t>
      </w:r>
      <w:r w:rsidR="00254C39">
        <w:t xml:space="preserve"> </w:t>
      </w:r>
      <w:r>
        <w:t>Wnioski składa się w siedzibie jednostki organizacyjnej (zarządcy mieszkania - ZAMK).</w:t>
      </w:r>
    </w:p>
    <w:p w:rsidR="00A77B3E" w:rsidRDefault="00254C39" w:rsidP="00254C39">
      <w:pPr>
        <w:keepLines/>
        <w:ind w:left="680" w:firstLine="340"/>
      </w:pPr>
      <w:r>
        <w:t xml:space="preserve">9.  </w:t>
      </w:r>
      <w:r w:rsidR="006E204B">
        <w:t>Wzór wniosku o zakwalifikowanie do wykonania remontu publikowany j</w:t>
      </w:r>
      <w:r w:rsidR="006E204B">
        <w:t>est razem z wykazem.</w:t>
      </w:r>
    </w:p>
    <w:p w:rsidR="00254C39" w:rsidRDefault="006E204B" w:rsidP="00254C39">
      <w:pPr>
        <w:keepLines/>
        <w:ind w:left="1276" w:hanging="256"/>
      </w:pPr>
      <w:r>
        <w:t>10. </w:t>
      </w:r>
      <w:r>
        <w:t xml:space="preserve">Powierzchnia użytkowa lokalu wskazanego przez osoby, o których  mowa w ust. 6 nie może </w:t>
      </w:r>
    </w:p>
    <w:p w:rsidR="00A77B3E" w:rsidRDefault="00254C39" w:rsidP="00254C39">
      <w:pPr>
        <w:keepLines/>
        <w:ind w:left="1276" w:hanging="256"/>
      </w:pPr>
      <w:r>
        <w:t xml:space="preserve">       </w:t>
      </w:r>
      <w:r w:rsidR="006E204B">
        <w:t>przekraczać kryterium powierzchniowego określonego w art. 21 ust. 4a ustawy.</w:t>
      </w:r>
    </w:p>
    <w:p w:rsidR="00254C39" w:rsidRDefault="006E204B" w:rsidP="00254C39">
      <w:pPr>
        <w:keepLines/>
        <w:ind w:left="1276" w:hanging="283"/>
      </w:pPr>
      <w:r>
        <w:t>11. </w:t>
      </w:r>
      <w:r w:rsidR="00254C39">
        <w:t xml:space="preserve"> </w:t>
      </w:r>
      <w:r>
        <w:t>Wstępnego wyboru wniosków dokonuje jednostka organizacyjna (zar</w:t>
      </w:r>
      <w:r>
        <w:t>ządca mieszkania - ZAMK),</w:t>
      </w:r>
    </w:p>
    <w:p w:rsidR="00254C39" w:rsidRDefault="00254C39" w:rsidP="00254C39">
      <w:pPr>
        <w:keepLines/>
        <w:ind w:left="1276" w:hanging="283"/>
      </w:pPr>
      <w:r>
        <w:t xml:space="preserve">   </w:t>
      </w:r>
      <w:r w:rsidR="006E204B">
        <w:t xml:space="preserve"> </w:t>
      </w:r>
      <w:r>
        <w:t xml:space="preserve">  </w:t>
      </w:r>
      <w:r w:rsidR="006E204B">
        <w:t xml:space="preserve">następnie  opiniuje Komisja ds. Mieszkaniowych o której mowa w § 11 ust. 15, a zatwierdza </w:t>
      </w:r>
      <w:r>
        <w:t xml:space="preserve">  </w:t>
      </w:r>
    </w:p>
    <w:p w:rsidR="00A77B3E" w:rsidRDefault="00254C39" w:rsidP="00254C39">
      <w:pPr>
        <w:keepLines/>
        <w:ind w:left="1276" w:hanging="283"/>
      </w:pPr>
      <w:r>
        <w:t xml:space="preserve">      </w:t>
      </w:r>
      <w:r w:rsidR="006E204B">
        <w:t>Burmistrz.</w:t>
      </w:r>
    </w:p>
    <w:p w:rsidR="00254C39" w:rsidRDefault="006E204B" w:rsidP="00254C39">
      <w:pPr>
        <w:keepLines/>
        <w:ind w:left="1276" w:hanging="283"/>
      </w:pPr>
      <w:r>
        <w:t>12. </w:t>
      </w:r>
      <w:r>
        <w:t xml:space="preserve">W przypadku złożenia wniosków na ten sam lokal przez więcej niż jednego wnioskodawcę, </w:t>
      </w:r>
    </w:p>
    <w:p w:rsidR="00254C39" w:rsidRDefault="00254C39" w:rsidP="00254C39">
      <w:pPr>
        <w:keepLines/>
        <w:ind w:left="1276" w:hanging="283"/>
      </w:pPr>
      <w:r>
        <w:t xml:space="preserve">      o </w:t>
      </w:r>
      <w:r w:rsidR="006E204B">
        <w:t>pierwszeństwie zawarcia umowy decydow</w:t>
      </w:r>
      <w:r w:rsidR="006E204B">
        <w:t>ać będzie nieposiadanie samodzielnego tytułu prawnego</w:t>
      </w:r>
    </w:p>
    <w:p w:rsidR="00254C39" w:rsidRDefault="00254C39" w:rsidP="00254C39">
      <w:pPr>
        <w:keepLines/>
        <w:ind w:left="1276" w:hanging="283"/>
      </w:pPr>
      <w:r>
        <w:t xml:space="preserve">   </w:t>
      </w:r>
      <w:r w:rsidR="006E204B">
        <w:t xml:space="preserve"> </w:t>
      </w:r>
      <w:r>
        <w:t xml:space="preserve">  </w:t>
      </w:r>
      <w:r w:rsidR="006E204B">
        <w:t xml:space="preserve">do lokalu i zamieszkiwanie wspólnie z innymi osobami, z uwzględnieniem mniejszej powierzchni </w:t>
      </w:r>
      <w:r>
        <w:t xml:space="preserve">   </w:t>
      </w:r>
    </w:p>
    <w:p w:rsidR="00254C39" w:rsidRDefault="00254C39" w:rsidP="00254C39">
      <w:pPr>
        <w:keepLines/>
        <w:ind w:left="1276" w:hanging="283"/>
      </w:pPr>
      <w:r>
        <w:t xml:space="preserve">      </w:t>
      </w:r>
      <w:r w:rsidR="006E204B">
        <w:t xml:space="preserve">mieszkalnej przypadającej na osobę wchodzącą w skład gospodarstwa domowego w dotychczas </w:t>
      </w:r>
    </w:p>
    <w:p w:rsidR="00A77B3E" w:rsidRDefault="00254C39" w:rsidP="00254C39">
      <w:pPr>
        <w:keepLines/>
        <w:ind w:left="1276" w:hanging="283"/>
      </w:pPr>
      <w:r>
        <w:t xml:space="preserve">      </w:t>
      </w:r>
      <w:r w:rsidR="006E204B">
        <w:t>zajmowanym lokalu.</w:t>
      </w:r>
    </w:p>
    <w:p w:rsidR="00254C39" w:rsidRDefault="006E204B" w:rsidP="00254C39">
      <w:pPr>
        <w:keepLines/>
        <w:ind w:left="1276" w:hanging="283"/>
      </w:pPr>
      <w:r>
        <w:t>13</w:t>
      </w:r>
      <w:r>
        <w:t>. </w:t>
      </w:r>
      <w:r>
        <w:t xml:space="preserve">Informacja o osobach zakwalifikowanych podawana jest do publicznej wiadomości poprzez </w:t>
      </w:r>
    </w:p>
    <w:p w:rsidR="00A77B3E" w:rsidRDefault="00254C39" w:rsidP="00254C39">
      <w:pPr>
        <w:keepLines/>
        <w:ind w:left="1276" w:hanging="283"/>
      </w:pPr>
      <w:r>
        <w:t xml:space="preserve">      </w:t>
      </w:r>
      <w:r w:rsidR="006E204B">
        <w:t>wywieszenie na tablicy ogłoszeń przez wynajmującego na okres 7 dni.</w:t>
      </w:r>
    </w:p>
    <w:p w:rsidR="00A77B3E" w:rsidRDefault="00254C39" w:rsidP="00254C39">
      <w:pPr>
        <w:keepLines/>
      </w:pPr>
      <w:r>
        <w:t xml:space="preserve">                </w:t>
      </w:r>
      <w:r w:rsidR="006E204B">
        <w:t>14. </w:t>
      </w:r>
      <w:r w:rsidR="006E204B">
        <w:t>Zasady realizacji remontu zostaną określone  w drodze Zarządzenia Burmistrza.</w:t>
      </w:r>
    </w:p>
    <w:p w:rsidR="00A77B3E" w:rsidRDefault="006E204B" w:rsidP="00254C39">
      <w:pPr>
        <w:keepLines/>
        <w:ind w:left="1418" w:hanging="425"/>
      </w:pPr>
      <w:r>
        <w:t>15. </w:t>
      </w:r>
      <w:r>
        <w:t>Czas remontu o</w:t>
      </w:r>
      <w:r>
        <w:t xml:space="preserve">kreśla się na okres  6 miesięcy, z ewentualną możliwością przedłużenia remontu do </w:t>
      </w:r>
      <w:r>
        <w:t>maksymalnie 12 miesięcy.</w:t>
      </w:r>
    </w:p>
    <w:p w:rsidR="00A77B3E" w:rsidRDefault="006E204B">
      <w:pPr>
        <w:keepLines/>
        <w:ind w:left="680" w:firstLine="340"/>
      </w:pPr>
      <w:r>
        <w:t>16. </w:t>
      </w:r>
      <w:r>
        <w:t>Przekazanie lokalu następuje na podstawie umowy o remont i protokołu zdawczo-odbiorczego.</w:t>
      </w:r>
    </w:p>
    <w:p w:rsidR="00A77B3E" w:rsidRDefault="006E204B" w:rsidP="00254C39">
      <w:pPr>
        <w:keepLines/>
        <w:ind w:left="1418" w:hanging="425"/>
        <w:sectPr w:rsidR="00A77B3E">
          <w:footerReference w:type="default" r:id="rId7"/>
          <w:endnotePr>
            <w:numFmt w:val="decimal"/>
          </w:endnotePr>
          <w:pgSz w:w="11906" w:h="16838"/>
          <w:pgMar w:top="850" w:right="850" w:bottom="1417" w:left="850" w:header="708" w:footer="708" w:gutter="0"/>
          <w:cols w:space="708"/>
          <w:docGrid w:linePitch="360"/>
        </w:sectPr>
      </w:pPr>
      <w:r>
        <w:t>17.</w:t>
      </w:r>
      <w:r w:rsidR="00254C39">
        <w:t xml:space="preserve">  </w:t>
      </w:r>
      <w:r>
        <w:t xml:space="preserve">Po dokonaniu pozytywnego, potwierdzającego prawidłowe wykonanie prac odbioru technicznego przez wynajmującego, z wnioskodawcą zawierana jest umowa najmu na </w:t>
      </w:r>
      <w:r>
        <w:t>czas nieoznaczony.</w:t>
      </w:r>
      <w:r>
        <w:t>”</w:t>
      </w:r>
      <w:r>
        <w:t>,</w:t>
      </w:r>
    </w:p>
    <w:p w:rsidR="00D41F29" w:rsidRDefault="00D41F29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:rsidR="00D41F29" w:rsidRDefault="006E204B">
      <w:pPr>
        <w:spacing w:line="360" w:lineRule="auto"/>
        <w:jc w:val="center"/>
        <w:rPr>
          <w:b/>
          <w:caps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aps/>
          <w:color w:val="000000"/>
          <w:szCs w:val="20"/>
          <w:shd w:val="clear" w:color="auto" w:fill="FFFFFF"/>
          <w:lang w:val="x-none" w:eastAsia="en-US" w:bidi="ar-SA"/>
        </w:rPr>
        <w:t>uzasadnienie</w:t>
      </w:r>
    </w:p>
    <w:p w:rsidR="00D41F29" w:rsidRDefault="006E204B">
      <w:pPr>
        <w:rPr>
          <w:color w:val="000000"/>
          <w:sz w:val="21"/>
          <w:szCs w:val="20"/>
          <w:shd w:val="clear" w:color="auto" w:fill="FFFFFF"/>
        </w:rPr>
      </w:pPr>
      <w:r>
        <w:rPr>
          <w:color w:val="000000"/>
          <w:sz w:val="21"/>
          <w:szCs w:val="20"/>
          <w:shd w:val="clear" w:color="auto" w:fill="FFFFFF"/>
        </w:rPr>
        <w:t>Projekt uchwały ma na celu optymalizację zarządzania gminnym zasobem nieruchomości oraz wprowadzenie skutecznego narzędzia lokalnej polityki społecznej. Inicjatywa ta doprecyzowuje przepisy umożliwiające wprowadzenie prog</w:t>
      </w:r>
      <w:r>
        <w:rPr>
          <w:color w:val="000000"/>
          <w:sz w:val="21"/>
          <w:szCs w:val="20"/>
          <w:shd w:val="clear" w:color="auto" w:fill="FFFFFF"/>
        </w:rPr>
        <w:t>ramów takich jak „Mieszkanie za remont”, co pozwala na zagospodarowanie lokali wymagających gruntownego remontu.</w:t>
      </w:r>
    </w:p>
    <w:p w:rsidR="00D41F29" w:rsidRDefault="006E204B">
      <w:pPr>
        <w:rPr>
          <w:color w:val="000000"/>
          <w:sz w:val="21"/>
          <w:szCs w:val="20"/>
          <w:shd w:val="clear" w:color="auto" w:fill="FFFFFF"/>
        </w:rPr>
      </w:pPr>
      <w:r>
        <w:rPr>
          <w:color w:val="000000"/>
          <w:sz w:val="21"/>
          <w:szCs w:val="20"/>
          <w:shd w:val="clear" w:color="auto" w:fill="FFFFFF"/>
        </w:rPr>
        <w:t xml:space="preserve">Rozwiązanie to skierowane jest do osób, które nie posiadają własnego mieszkania bądź zajmują lokal niedostosowany do ich potrzeb, ale są w </w:t>
      </w:r>
      <w:r>
        <w:rPr>
          <w:color w:val="000000"/>
          <w:sz w:val="21"/>
          <w:szCs w:val="20"/>
          <w:shd w:val="clear" w:color="auto" w:fill="FFFFFF"/>
        </w:rPr>
        <w:t>stanie przeprowadzić niezbędne prace we własnym zakresie.</w:t>
      </w:r>
    </w:p>
    <w:p w:rsidR="00D41F29" w:rsidRDefault="006E204B">
      <w:pPr>
        <w:rPr>
          <w:color w:val="000000"/>
          <w:sz w:val="21"/>
          <w:szCs w:val="20"/>
          <w:shd w:val="clear" w:color="auto" w:fill="FFFFFF"/>
        </w:rPr>
      </w:pPr>
      <w:r>
        <w:rPr>
          <w:color w:val="000000"/>
          <w:sz w:val="21"/>
          <w:szCs w:val="20"/>
          <w:shd w:val="clear" w:color="auto" w:fill="FFFFFF"/>
        </w:rPr>
        <w:t>Wejście w życie uchwały nie spowoduje negatywnych skutków finansowych dla budżetu Gminy Rogoźno. Wobec powyższego, podjęcie niniejszej uchwały jest w pełni uzasadnione i celowe.</w:t>
      </w:r>
    </w:p>
    <w:p w:rsidR="00D41F29" w:rsidRDefault="00D41F29">
      <w:pPr>
        <w:spacing w:line="276" w:lineRule="auto"/>
        <w:rPr>
          <w:color w:val="000000"/>
          <w:sz w:val="21"/>
          <w:szCs w:val="20"/>
          <w:shd w:val="clear" w:color="auto" w:fill="FFFFFF"/>
          <w:lang w:val="x-none" w:eastAsia="en-US" w:bidi="ar-SA"/>
        </w:rPr>
      </w:pPr>
    </w:p>
    <w:p w:rsidR="00D41F29" w:rsidRDefault="00D41F29">
      <w:pPr>
        <w:spacing w:line="360" w:lineRule="auto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sectPr w:rsidR="00D41F29">
      <w:footerReference w:type="default" r:id="rId8"/>
      <w:pgSz w:w="11907" w:h="16839" w:code="9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E204B">
      <w:r>
        <w:separator/>
      </w:r>
    </w:p>
  </w:endnote>
  <w:endnote w:type="continuationSeparator" w:id="0">
    <w:p w:rsidR="00000000" w:rsidRDefault="006E2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948"/>
      <w:gridCol w:w="3474"/>
    </w:tblGrid>
    <w:tr w:rsidR="00D41F29">
      <w:tc>
        <w:tcPr>
          <w:tcW w:w="6804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D41F29" w:rsidRDefault="006E204B">
          <w:pPr>
            <w:jc w:val="left"/>
            <w:rPr>
              <w:sz w:val="18"/>
            </w:rPr>
          </w:pPr>
          <w:r>
            <w:rPr>
              <w:sz w:val="18"/>
            </w:rPr>
            <w:t>Id: 0664ACB9-B32D-4DCE-9815-02892F68ABEA. Projekt</w:t>
          </w:r>
        </w:p>
      </w:tc>
      <w:tc>
        <w:tcPr>
          <w:tcW w:w="34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D41F29" w:rsidRDefault="006E204B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254C39"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D41F29" w:rsidRDefault="00D41F29">
    <w:pPr>
      <w:rPr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47"/>
      <w:gridCol w:w="3274"/>
    </w:tblGrid>
    <w:tr w:rsidR="00D41F29">
      <w:tc>
        <w:tcPr>
          <w:tcW w:w="640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D41F29" w:rsidRDefault="006E204B">
          <w:pPr>
            <w:jc w:val="left"/>
            <w:rPr>
              <w:sz w:val="18"/>
            </w:rPr>
          </w:pPr>
          <w:r>
            <w:rPr>
              <w:sz w:val="18"/>
            </w:rPr>
            <w:t xml:space="preserve">Id: </w:t>
          </w:r>
          <w:r>
            <w:rPr>
              <w:sz w:val="18"/>
            </w:rPr>
            <w:t>0664ACB9-B32D-4DCE-9815-02892F68ABEA. Projekt</w:t>
          </w:r>
        </w:p>
      </w:tc>
      <w:tc>
        <w:tcPr>
          <w:tcW w:w="32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D41F29" w:rsidRDefault="006E204B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254C39">
            <w:rPr>
              <w:sz w:val="18"/>
            </w:rPr>
            <w:fldChar w:fldCharType="separate"/>
          </w:r>
          <w:r w:rsidR="00927DEF">
            <w:rPr>
              <w:noProof/>
              <w:sz w:val="18"/>
            </w:rPr>
            <w:t>3</w:t>
          </w:r>
          <w:r>
            <w:rPr>
              <w:sz w:val="18"/>
            </w:rPr>
            <w:fldChar w:fldCharType="end"/>
          </w:r>
        </w:p>
      </w:tc>
    </w:tr>
  </w:tbl>
  <w:p w:rsidR="00D41F29" w:rsidRDefault="00D41F29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E204B">
      <w:r>
        <w:separator/>
      </w:r>
    </w:p>
  </w:footnote>
  <w:footnote w:type="continuationSeparator" w:id="0">
    <w:p w:rsidR="00000000" w:rsidRDefault="006E20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77B3E"/>
    <w:rsid w:val="00254C39"/>
    <w:rsid w:val="006E204B"/>
    <w:rsid w:val="00927DEF"/>
    <w:rsid w:val="00A77B3E"/>
    <w:rsid w:val="00CA2A55"/>
    <w:rsid w:val="00D41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830</Words>
  <Characters>5219</Characters>
  <Application>Microsoft Office Word</Application>
  <DocSecurity>0</DocSecurity>
  <Lines>43</Lines>
  <Paragraphs>12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z dnia 2 czerwca 2026 r.</vt:lpstr>
      <vt:lpstr/>
    </vt:vector>
  </TitlesOfParts>
  <Company>Rada Miejska w Rogoźnie</Company>
  <LinksUpToDate>false</LinksUpToDate>
  <CharactersWithSpaces>6037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z dnia 2 czerwca 2026 r.</dc:title>
  <dc:subject>w sprawie zmiany uchwały nr XIV/143/2025 Rady Miejskiej w Rogoźnie
z dnia 29 stycznia 2025 r. w sprawie zasad wynajmowania lokali wchodzących w skład mieszkaniowego zasobu Gminy Rogoźno</dc:subject>
  <dc:creator>bjarzyniewski</dc:creator>
  <cp:lastModifiedBy>Bartosz Jarzyniewski</cp:lastModifiedBy>
  <cp:revision>2</cp:revision>
  <dcterms:created xsi:type="dcterms:W3CDTF">2026-06-02T13:38:00Z</dcterms:created>
  <dcterms:modified xsi:type="dcterms:W3CDTF">2026-06-02T12:08:00Z</dcterms:modified>
  <cp:category>Akt prawny</cp:category>
</cp:coreProperties>
</file>