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  <w:r>
        <w:rPr>
          <w:rFonts w:ascii="Verdana" w:eastAsia="Verdana" w:hAnsi="Verdana" w:cs="Verdana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 dnia  3 czerwca 2026 r.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/>
          <w:i w:val="0"/>
          <w:caps/>
          <w:sz w:val="24"/>
          <w:u w:val="none"/>
        </w:rPr>
        <w:t>Uchwała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 xml:space="preserve"> nr 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....................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br/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Rady Miejskiej w Rogoźnie</w:t>
      </w:r>
    </w:p>
    <w:p w:rsidR="00A77B3E">
      <w:pPr>
        <w:spacing w:before="280" w:after="28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3 czerwca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i w:val="0"/>
          <w:caps w:val="0"/>
          <w:sz w:val="24"/>
          <w:u w:val="none"/>
        </w:rPr>
        <w:t>w sprawie udzielenia Burmistrzowi Rogoźna wotum zaufania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Na podstawie art. 18 ust. 2 pkt 4a oraz art. 28aa ust. 9 ustawy z dnia 8 marca 1990 r.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samorządzie gminnym (t.j. Dz. U. z 2026 r. poz. 662) Rada Miejska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Rogoźnie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Po przeprowadzeniu debaty nad Raportem o stanie Gminy Rogoźno za 2025 rok, udziela się Burmistrzowi Rogoźna wotum zaufania.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Zgodnie z art. 18 ust. 2 pkt 4a ustawy z dnia 8 marca 1990 r. o samorządzie gminnym, do wyłącznej właściwości rady gminy należy rozpatrywanie raportu o stanie gminy oraz podejmowanie uchwały w sprawie udzielenia lub nieudzielenia wotum zaufania z tego tytułu.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Zgodnie z art. 28aa ust. 9 ww. ustawy, po zakończeniu debaty nad raportem o stanie gminy rada gminy przeprowadza głosowanie nad udzieleniem wójtowi wotum zaufania. Uchwałę o udzieleniu wójtowi wotum zaufania rada gminy podejmuje bezwzględną większością głosów ustawowego składu rady gminy. Niepodjęcie uchwały o udzieleniu wójtowi wotum zaufania jest równoznaczne z podjęciem uchwały o nieudzieleniu wójtowi wotum zaufania.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Burmistrz Rogoźna przedstawił Radzie Miejskiej w Rogoźnie Raport o stanie Gminy Rogoźno za rok 202</w:t>
      </w:r>
      <w:r>
        <w:rPr>
          <w:rFonts w:eastAsia="Times New Roman" w:cs="Times New Roman"/>
          <w:szCs w:val="20"/>
        </w:rPr>
        <w:t>5 w ustawowym terminie</w:t>
      </w:r>
      <w:r>
        <w:rPr>
          <w:rFonts w:eastAsia="Times New Roman" w:cs="Times New Roman"/>
          <w:szCs w:val="20"/>
        </w:rPr>
        <w:t xml:space="preserve">. Raport obejmuje podsumowanie działalności </w:t>
      </w:r>
      <w:r>
        <w:rPr>
          <w:rFonts w:eastAsia="Times New Roman" w:cs="Times New Roman"/>
          <w:szCs w:val="20"/>
        </w:rPr>
        <w:t>Burmistrza Rogoźna w 2025 roku</w:t>
      </w:r>
      <w:r>
        <w:rPr>
          <w:rFonts w:eastAsia="Times New Roman" w:cs="Times New Roman"/>
          <w:szCs w:val="20"/>
        </w:rPr>
        <w:t xml:space="preserve">, w szczególności realizację polityk, programów i strategii, uchwał </w:t>
      </w:r>
      <w:r>
        <w:rPr>
          <w:rFonts w:eastAsia="Times New Roman" w:cs="Times New Roman"/>
          <w:szCs w:val="20"/>
        </w:rPr>
        <w:t>Rady Miejskiej w Rogoźnie oraz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B</w:t>
      </w:r>
      <w:r>
        <w:rPr>
          <w:rFonts w:eastAsia="Times New Roman" w:cs="Times New Roman"/>
          <w:szCs w:val="20"/>
        </w:rPr>
        <w:t xml:space="preserve">udżetu </w:t>
      </w:r>
      <w:r>
        <w:rPr>
          <w:rFonts w:eastAsia="Times New Roman" w:cs="Times New Roman"/>
          <w:szCs w:val="20"/>
        </w:rPr>
        <w:t>O</w:t>
      </w:r>
      <w:r>
        <w:rPr>
          <w:rFonts w:eastAsia="Times New Roman" w:cs="Times New Roman"/>
          <w:szCs w:val="20"/>
        </w:rPr>
        <w:t>bywatelskiego.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Po przeprowadzeniu debaty nad tym Raportem, postanawia się udzielić Burmistrzowi Rogoźna wotum zaufania.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 uwagi na powyższe, podjęcie niniejszej uchwały jest uzasadnione.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ED57C283-4C3D-4BEA-9015-CC113F2ED277.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ED57C283-4C3D-4BEA-9015-CC113F2ED277.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 czerwca 2026 r.</dc:title>
  <dc:subject>w sprawie udzielenia Burmistrzowi Rogoźna wotum zaufania</dc:subject>
  <dc:creator>amazur</dc:creator>
  <cp:lastModifiedBy>amazur</cp:lastModifiedBy>
  <cp:revision>1</cp:revision>
  <dcterms:created xsi:type="dcterms:W3CDTF">2026-06-03T12:47:52Z</dcterms:created>
  <dcterms:modified xsi:type="dcterms:W3CDTF">2026-06-03T12:47:52Z</dcterms:modified>
  <cp:category>Akt prawny</cp:category>
</cp:coreProperties>
</file>