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maja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odstąpienie od obowiązku przetargowego zawarcia umów dzierżawy gruntów położonych na terenie gminy Rogoźno.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Na podstawie  art. 18 ust. 2 pkt 9 lit. a ustawy z dnia 8 marca 1990 r. o samorządzie gminnym (t.j. Dz.U.  z 2025 r. poz. 1153 ze zm.) oraz art. 37 ust. 4 ustawy z dnia 21 sierpnia 1997 r. o gospodarce nieruchomościami (t.j. Dz.U. z 2026 r. poz. 399) w związku z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§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 pkt 2 Uchwały Nr XXV/235/2016 Rady Miejskiej w Rogoźnie z dnia 27 kwietnia 2016 r. (Dz. Urzęd. Woj. Wlkp., 2016 poz. 3114 z późn. zm.) w sprawie zasad gospodarowania nieruchomościami Gminy Rogoźno,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Miejska w Rogoźnie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wydzierżawienie w trybie bezprzetargowym na okres do lat 7, nieruchomości rolnych stanowiących własność Gminy Rogoźno: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obrębie geodezyjnym Garbatka, działka oznaczona ewid. nr 325 o pow. 1,76 ha,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obrębie geodezyjnym Gościejewo, działka oznaczona ewid. nr 439/2 o pow. 0,6760 ha,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obrębie geodezyjnym Studzieniec, działka oznaczona ewid. nr 368 o pow. 1,54 ha  i 373 o pow.  5,39 ha.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283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18 ust. 2 pkt 9 lit. a ustawy z dnia 8 marca 1990 roku o samorządzie gminnym</w:t>
      </w:r>
      <w:r>
        <w:rPr>
          <w:color w:val="000000"/>
          <w:szCs w:val="20"/>
          <w:shd w:val="clear" w:color="auto" w:fill="FFFFFF"/>
        </w:rPr>
        <w:t xml:space="preserve"> </w:t>
        <w:br/>
        <w:t>(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.j Dz. U. z 202</w:t>
      </w:r>
      <w:r>
        <w:rPr>
          <w:color w:val="000000"/>
          <w:szCs w:val="20"/>
          <w:shd w:val="clear" w:color="auto" w:fill="FFFFFF"/>
        </w:rPr>
        <w:t>5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poz. 1</w:t>
      </w:r>
      <w:r>
        <w:rPr>
          <w:color w:val="000000"/>
          <w:szCs w:val="20"/>
          <w:shd w:val="clear" w:color="auto" w:fill="FFFFFF"/>
        </w:rPr>
        <w:t>153 z</w:t>
      </w:r>
      <w:r>
        <w:rPr>
          <w:color w:val="000000"/>
          <w:szCs w:val="20"/>
          <w:shd w:val="clear" w:color="auto" w:fill="FFFFFF"/>
        </w:rPr>
        <w:t>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zm.) oraz art 37 ust. 4 ustawy z dnia 21 sierpnia 1997 r.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o gospodarce nieruchomościami (t.j Dz. U.</w:t>
      </w:r>
      <w:r>
        <w:rPr>
          <w:color w:val="000000"/>
          <w:szCs w:val="20"/>
          <w:shd w:val="clear" w:color="auto" w:fill="FFFFFF"/>
        </w:rPr>
        <w:t xml:space="preserve">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202</w:t>
      </w:r>
      <w:r>
        <w:rPr>
          <w:color w:val="000000"/>
          <w:szCs w:val="20"/>
          <w:shd w:val="clear" w:color="auto" w:fill="FFFFFF"/>
        </w:rPr>
        <w:t>6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poz. </w:t>
      </w:r>
      <w:r>
        <w:rPr>
          <w:color w:val="000000"/>
          <w:szCs w:val="20"/>
          <w:shd w:val="clear" w:color="auto" w:fill="FFFFFF"/>
        </w:rPr>
        <w:t>399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ustawodawca nałożył obowiązek podjęcia uchwały Rady Miejskiej w przypadku, gdy po umowie dzierżawy zawartej na czas oznaczony do lat 3, stron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zawiera kolejn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umow</w:t>
      </w:r>
      <w:r>
        <w:rPr>
          <w:color w:val="000000"/>
          <w:szCs w:val="20"/>
          <w:shd w:val="clear" w:color="auto" w:fill="FFFFFF"/>
        </w:rPr>
        <w:t>ę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których przedmiotem </w:t>
      </w:r>
      <w:r>
        <w:rPr>
          <w:color w:val="000000"/>
          <w:szCs w:val="20"/>
          <w:shd w:val="clear" w:color="auto" w:fill="FFFFFF"/>
        </w:rPr>
        <w:t>jest ta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sama nieruchomość. Dotychczasow</w:t>
      </w:r>
      <w:r>
        <w:rPr>
          <w:color w:val="000000"/>
          <w:szCs w:val="20"/>
          <w:shd w:val="clear" w:color="auto" w:fill="FFFFFF"/>
        </w:rPr>
        <w:t>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dzierżawc</w:t>
      </w:r>
      <w:r>
        <w:rPr>
          <w:color w:val="000000"/>
          <w:szCs w:val="20"/>
          <w:shd w:val="clear" w:color="auto" w:fill="FFFFFF"/>
        </w:rPr>
        <w:t xml:space="preserve">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złoży</w:t>
      </w:r>
      <w:r>
        <w:rPr>
          <w:color w:val="000000"/>
          <w:szCs w:val="20"/>
          <w:shd w:val="clear" w:color="auto" w:fill="FFFFFF"/>
        </w:rPr>
        <w:t>li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wnios</w:t>
      </w:r>
      <w:r>
        <w:rPr>
          <w:color w:val="000000"/>
          <w:szCs w:val="20"/>
          <w:shd w:val="clear" w:color="auto" w:fill="FFFFFF"/>
        </w:rPr>
        <w:t>ki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 ponowne wydzierżawienie przedmiotowego gruntu</w:t>
      </w:r>
      <w:r>
        <w:rPr>
          <w:color w:val="000000"/>
          <w:szCs w:val="20"/>
          <w:shd w:val="clear" w:color="auto" w:fill="FFFFFF"/>
        </w:rPr>
        <w:t xml:space="preserve"> pod uprawy rolne.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283" w:right="0" w:firstLine="0"/>
        <w:contextualSpacing w:val="0"/>
        <w:rPr>
          <w:color w:val="000000"/>
          <w:szCs w:val="2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283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nawiązaniu do powyższego podjęcie przez Radę Miejską niniejszej uchwały jest w pełni uzasadnione.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BACF4B5B-C013-47D3-9B73-4AB4B9A5B266.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BACF4B5B-C013-47D3-9B73-4AB4B9A5B266.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zawarcia umów dzierżawy gruntów położonych na terenie gminy Rogoźno.</dc:subject>
  <dc:creator>iostrowska</dc:creator>
  <cp:lastModifiedBy>iostrowska</cp:lastModifiedBy>
  <cp:revision>1</cp:revision>
  <dcterms:created xsi:type="dcterms:W3CDTF">2026-05-05T13:29:24Z</dcterms:created>
  <dcterms:modified xsi:type="dcterms:W3CDTF">2026-05-05T13:29:24Z</dcterms:modified>
  <cp:category>Akt prawny</cp:category>
</cp:coreProperties>
</file>