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382367" w:rsidRDefault="00453FE8" w:rsidP="00382367">
      <w:pPr>
        <w:spacing w:line="276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  <w:r w:rsidRPr="00382367">
        <w:rPr>
          <w:rFonts w:ascii="Times New Roman" w:hAnsi="Times New Roman" w:cs="Times New Roman"/>
          <w:b/>
          <w:i/>
          <w:sz w:val="21"/>
          <w:szCs w:val="21"/>
          <w:u w:val="thick"/>
        </w:rPr>
        <w:t>Projekt</w:t>
      </w:r>
    </w:p>
    <w:p w:rsidR="00A77B3E" w:rsidRPr="00382367" w:rsidRDefault="00A77B3E" w:rsidP="00382367">
      <w:pPr>
        <w:spacing w:line="276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</w:p>
    <w:p w:rsidR="00A77B3E" w:rsidRPr="00382367" w:rsidRDefault="00453FE8" w:rsidP="00382367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382367">
        <w:rPr>
          <w:rFonts w:ascii="Times New Roman" w:hAnsi="Times New Roman" w:cs="Times New Roman"/>
          <w:sz w:val="21"/>
          <w:szCs w:val="21"/>
        </w:rPr>
        <w:t>z dnia  13 lutego 2026 r.</w:t>
      </w:r>
    </w:p>
    <w:p w:rsidR="00A77B3E" w:rsidRPr="00382367" w:rsidRDefault="00453FE8" w:rsidP="00382367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382367">
        <w:rPr>
          <w:rFonts w:ascii="Times New Roman" w:hAnsi="Times New Roman" w:cs="Times New Roman"/>
          <w:sz w:val="21"/>
          <w:szCs w:val="21"/>
        </w:rPr>
        <w:t>Zatwierdzony przez .........................</w:t>
      </w:r>
    </w:p>
    <w:p w:rsidR="00A77B3E" w:rsidRPr="00382367" w:rsidRDefault="00A77B3E" w:rsidP="00382367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382367" w:rsidRDefault="00A77B3E" w:rsidP="00382367">
      <w:pPr>
        <w:spacing w:line="276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382367" w:rsidRDefault="00453FE8" w:rsidP="00382367">
      <w:pPr>
        <w:spacing w:line="276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382367">
        <w:rPr>
          <w:rFonts w:ascii="Times New Roman" w:hAnsi="Times New Roman" w:cs="Times New Roman"/>
          <w:b/>
          <w:caps/>
          <w:sz w:val="21"/>
          <w:szCs w:val="21"/>
        </w:rPr>
        <w:t>Uchwała nr ....................</w:t>
      </w:r>
      <w:r w:rsidRPr="00382367">
        <w:rPr>
          <w:rFonts w:ascii="Times New Roman" w:hAnsi="Times New Roman" w:cs="Times New Roman"/>
          <w:b/>
          <w:caps/>
          <w:sz w:val="21"/>
          <w:szCs w:val="21"/>
        </w:rPr>
        <w:br/>
        <w:t>Rady Miejskiej w Rogoźnie</w:t>
      </w:r>
    </w:p>
    <w:p w:rsidR="00A77B3E" w:rsidRPr="00382367" w:rsidRDefault="00453FE8" w:rsidP="00382367">
      <w:pPr>
        <w:spacing w:before="280" w:after="280" w:line="276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382367">
        <w:rPr>
          <w:rFonts w:ascii="Times New Roman" w:hAnsi="Times New Roman" w:cs="Times New Roman"/>
          <w:sz w:val="21"/>
          <w:szCs w:val="21"/>
        </w:rPr>
        <w:t xml:space="preserve">z dnia </w:t>
      </w:r>
      <w:r w:rsidR="009B138E">
        <w:rPr>
          <w:rFonts w:ascii="Times New Roman" w:hAnsi="Times New Roman" w:cs="Times New Roman"/>
          <w:sz w:val="21"/>
          <w:szCs w:val="21"/>
        </w:rPr>
        <w:t>………..</w:t>
      </w:r>
      <w:r w:rsidRPr="00382367">
        <w:rPr>
          <w:rFonts w:ascii="Times New Roman" w:hAnsi="Times New Roman" w:cs="Times New Roman"/>
          <w:sz w:val="21"/>
          <w:szCs w:val="21"/>
        </w:rPr>
        <w:t xml:space="preserve"> 2026 r.</w:t>
      </w:r>
    </w:p>
    <w:p w:rsidR="00A77B3E" w:rsidRPr="00382367" w:rsidRDefault="00453FE8" w:rsidP="00382367">
      <w:pPr>
        <w:keepNext/>
        <w:spacing w:after="48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w sprawie miejscowego planu zagospodarowania przestrzennego na obszarze położonym w obrębie Parkowo, gmina Rogoźno</w:t>
      </w:r>
    </w:p>
    <w:p w:rsidR="00A77B3E" w:rsidRPr="00382367" w:rsidRDefault="00453FE8" w:rsidP="00382367">
      <w:pPr>
        <w:keepLines/>
        <w:spacing w:before="120" w:after="120" w:line="276" w:lineRule="auto"/>
        <w:ind w:firstLine="227"/>
        <w:jc w:val="both"/>
        <w:rPr>
          <w:rFonts w:ascii="Times New Roman" w:hAnsi="Times New Roman" w:cs="Times New Roman"/>
          <w:sz w:val="21"/>
          <w:szCs w:val="21"/>
        </w:rPr>
      </w:pPr>
      <w:r w:rsidRPr="00382367">
        <w:rPr>
          <w:rFonts w:ascii="Times New Roman" w:hAnsi="Times New Roman" w:cs="Times New Roman"/>
          <w:sz w:val="21"/>
          <w:szCs w:val="21"/>
        </w:rPr>
        <w:t xml:space="preserve">Na podstawie art. 18 ust. 2 pkt 5 ustawy z dnia 8 marca 1990 r. o samorządzie gminnym (Dz. U. z 2025 r., poz. 1153, 1436), art. 20 ust. 1 ustawy z dnia 27 marca 2003 r. o planowaniu i zagospodarowaniu przestrzennym (Dz. U. z 2024 r. poz. 1130 ze zm.), w związku z art. 64 ust. 2 ustawy z dnia 7 lipca 2023r. o zmianie ustawy o planowaniu </w:t>
      </w:r>
      <w:r w:rsidR="0040075C">
        <w:rPr>
          <w:rFonts w:ascii="Times New Roman" w:hAnsi="Times New Roman" w:cs="Times New Roman"/>
          <w:sz w:val="21"/>
          <w:szCs w:val="21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i zagospodarowaniu przestrzennym oraz niektórych innych ustaw (Dz.U.</w:t>
      </w:r>
      <w:r w:rsidR="0040075C">
        <w:rPr>
          <w:rFonts w:ascii="Times New Roman" w:hAnsi="Times New Roman" w:cs="Times New Roman"/>
          <w:sz w:val="21"/>
          <w:szCs w:val="21"/>
        </w:rPr>
        <w:t xml:space="preserve"> z</w:t>
      </w:r>
      <w:r w:rsidRPr="00382367">
        <w:rPr>
          <w:rFonts w:ascii="Times New Roman" w:hAnsi="Times New Roman" w:cs="Times New Roman"/>
          <w:sz w:val="21"/>
          <w:szCs w:val="21"/>
        </w:rPr>
        <w:t xml:space="preserve"> 2023</w:t>
      </w:r>
      <w:r w:rsidR="0040075C">
        <w:rPr>
          <w:rFonts w:ascii="Times New Roman" w:hAnsi="Times New Roman" w:cs="Times New Roman"/>
          <w:sz w:val="21"/>
          <w:szCs w:val="21"/>
        </w:rPr>
        <w:t xml:space="preserve"> r.</w:t>
      </w:r>
      <w:r w:rsidRPr="00382367">
        <w:rPr>
          <w:rFonts w:ascii="Times New Roman" w:hAnsi="Times New Roman" w:cs="Times New Roman"/>
          <w:sz w:val="21"/>
          <w:szCs w:val="21"/>
        </w:rPr>
        <w:t xml:space="preserve"> poz. 1688), Rada Miejska </w:t>
      </w:r>
      <w:r w:rsidR="0040075C">
        <w:rPr>
          <w:rFonts w:ascii="Times New Roman" w:hAnsi="Times New Roman" w:cs="Times New Roman"/>
          <w:sz w:val="21"/>
          <w:szCs w:val="21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w Rogoźnie uchwala, co następuje: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aps/>
          <w:sz w:val="21"/>
          <w:szCs w:val="21"/>
        </w:rPr>
        <w:t>Dział I.</w:t>
      </w:r>
      <w:r w:rsidRPr="00382367">
        <w:rPr>
          <w:rFonts w:ascii="Times New Roman" w:hAnsi="Times New Roman" w:cs="Times New Roman"/>
          <w:sz w:val="21"/>
          <w:szCs w:val="21"/>
        </w:rPr>
        <w:br/>
      </w:r>
      <w:r w:rsidRPr="00382367">
        <w:rPr>
          <w:rFonts w:ascii="Times New Roman" w:hAnsi="Times New Roman" w:cs="Times New Roman"/>
          <w:b/>
          <w:sz w:val="21"/>
          <w:szCs w:val="21"/>
        </w:rPr>
        <w:t>Przepisy ogólne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sz w:val="21"/>
          <w:szCs w:val="21"/>
          <w:u w:color="000000"/>
        </w:rPr>
        <w:t>Uchwala się miejscowy plan zagospodarowania przestrzennego na obszarze położonym w obrębie Parkowo, gmina Rogoźno po stwierdzeniu, że nie zostały naruszone ustalenia Studium uwaru</w:t>
      </w:r>
      <w:bookmarkStart w:id="0" w:name="_GoBack"/>
      <w:bookmarkEnd w:id="0"/>
      <w:r w:rsidRPr="00382367">
        <w:rPr>
          <w:rFonts w:ascii="Times New Roman" w:hAnsi="Times New Roman" w:cs="Times New Roman"/>
          <w:sz w:val="21"/>
          <w:szCs w:val="21"/>
          <w:u w:color="000000"/>
        </w:rPr>
        <w:t xml:space="preserve">nkowań i kierunków zagospodarowania przestrzennego Gminy Rogoźno, przyjętego uchwałą nr XX/160/2019 Rady Miejskiej </w:t>
      </w:r>
      <w:r w:rsidR="00382367">
        <w:rPr>
          <w:rFonts w:ascii="Times New Roman" w:hAnsi="Times New Roman" w:cs="Times New Roman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  <w:u w:color="000000"/>
        </w:rPr>
        <w:t xml:space="preserve">w Rogoźnie z dnia 30 października 2019 r., zmienionego uchwałą nr XCII/1012/2024 Rady Miejskiej w Rogoźnie </w:t>
      </w:r>
      <w:r w:rsidR="00382367">
        <w:rPr>
          <w:rFonts w:ascii="Times New Roman" w:hAnsi="Times New Roman" w:cs="Times New Roman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  <w:u w:color="000000"/>
        </w:rPr>
        <w:t xml:space="preserve">z dnia 25 marca 2024 r. 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Niniejsza uchwała obowiązuje na obszarze, którego granice określają rysunki planu, zatytułowane „Miejscowy plan zagospodarowania przestrzennego na obszarze położonym w obrębie Parkowo, gmina Rogoźno”, stanowiące załącznik nr 1 i 2 do niniejszej uchwały.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Załącznikiem nr 3 do uchwały jest rozstrzygnięcie sposobu rozpatrzenia uwag do projektu planu.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Załącznikiem nr 4 do uchwały jest rozstrzygnięcie o sposobie realizacji, zapisanych w planie inwestycji </w:t>
      </w:r>
      <w:r w:rsid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 zakresu infrastruktury technicznej, które należą do zadań własnych gminy, oraz zasadach ich finansowania.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Załącznikiem nr 5 do uchwały jest dokument elektroniczny zawierający dane przestrzenne.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Ilekroć w dalszych przepisach niniejszej uchwały jest mowa o: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budynku gospodarczo-garażowym należy przez to rozumieć budynek łączący funkcje niezależnie od ich proporcji, budynku gospodarczego i garażu, w rozumieniu przepisów odrębnych;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dachu płaskim – należy przez to rozumieć dach o kącie nachylenia połaci dachowych do 12 stopni;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nieprzekraczalnej linii zabudowy - należy przez to rozumieć linię określającą najmniejszą odległość, w jakiej mogą znaleźć się budynki od linii rozgraniczającej tereny; poza obszarem wyznaczonym przez nieprzekraczalne linie zabudowy dopuszcza się w odległości do 2,0 m realizację schodów, pochylni, balkonów, gzymsów, wykuszy, okapów i ganków;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terenie - należy przez to rozumieć obszar wydzielony linią rozgraniczającą wraz z symbolem.</w:t>
      </w:r>
    </w:p>
    <w:p w:rsid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aps/>
          <w:sz w:val="21"/>
          <w:szCs w:val="21"/>
        </w:rPr>
        <w:lastRenderedPageBreak/>
        <w:t>Dział II.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Przepisy szczegółowe</w:t>
      </w:r>
    </w:p>
    <w:p w:rsid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Rozdział 1</w:t>
      </w:r>
      <w:r w:rsid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.</w:t>
      </w:r>
    </w:p>
    <w:p w:rsidR="00A77B3E" w:rsidRP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Przeznaczenie terenów oraz linie rozgraniczające tereny o różnym przeznaczeniu lub różnych zasadach zagospodarowania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następujące przeznaczenie terenów: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1MNW, 2MNW, 3MNW, 4MNW, 5MNW, 6MNW, 7MNW, 8MNW, 9MNW, 10MNW, 11MNW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– tereny zabudowy mieszkaniowej jednorodzinnej wolnostojącej;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1MNW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-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U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 2MNW-U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– tereny zabudowy mieszkaniowej jednorodzinnej wolnostojącej lub usług;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U - P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– teren usług lub produkcji;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1WS, 2WS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– tereny wód powierzchniowych śródlądowych;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1RNL, 2RNL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– tereny łąk i pastwisk;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6) 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1KR, 2KR, 3KR, 4KR, 5KR, 6KR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– tereny komunikacji drogowej wewnętrznej.</w:t>
      </w:r>
    </w:p>
    <w:p w:rsidR="00A77B3E" w:rsidRP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2.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Zasady ochrony i kształtowania ładu przestrzennego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4.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Przy realizacji nowo projektowanych budynków należy uwzględnić nieprzekraczalną linię zabudowy.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ab/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5.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obszarze planu: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zakaz: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stosowania płyt ogrodzeniowych z gotowych, prefabrykowanych elementów żelbetowych z wyjątkiem podmurówki,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realizacji obiektów handlowych o powierzchni sprzedaży powyżej 2000m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 się: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rozbiórki, przebudowy, nadbudowy i rozbudowy istniejących budynków, zmiany sposobu użytkowania,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lokalizację budynków garażowych, gospodarczych i gospodarczo-garażowych oraz wiat,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c)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lokalizację obiektów o których mowa w ust. 2 lit. b) w odległości 1,5 m od granicy lub bezpośrednio przy niej, zgodnie z przepisami odrębnymi,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d)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lokalizację dojść i dojazdów,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f)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realizację sieci i urządzeń infrastruktury technicznej.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5.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terenach wód powierzchniowych śródlądowych oznaczonych na rysunku planu symbolem 1WS, 2WS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 się: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zieleń towarzyszącą;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lokalizację urządzeń melioracji wodnych,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zakazuje się przegradzania i ustawiania obiektów utrudniających dostęp do wód w celu ich eksploatacji </w:t>
      </w:r>
      <w:r w:rsid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i konserwacji.</w:t>
      </w:r>
    </w:p>
    <w:p w:rsidR="00A77B3E" w:rsidRP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3.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Zasady ochrony środowiska, przyrody i krajobrazu kulturowego, oraz zasady kształtowania krajobrazu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6.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 zakresu ochrony przed hałasem obowiązują normy określone w przepisach odrębnych w zakresie ochrony przed hałasem: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lastRenderedPageBreak/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terenach zabudowy mieszkaniowej jednorodzinnej 1MNW, 2MNW, 3MNW, 4MNW, 5MNW, 6MNW, 7MNW, 8MNW, 9MNW, 10MNW, 11MNW obowiązują dopuszczalne poziomy hałasu jak dla terenów zabudowy mieszkaniowej jednorodzinnej;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terenach zabudowy mieszkaniowej jednorodzinnej wolnostojącej lub usług oznaczonych symbolem 1MNW-U, 2MNW-U obowiązują dopuszczalne poziomy hałasu jak dla terenów mieszkaniowo-usługowych.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7.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 zakresie gospodarki odpadami ustala się obowiązek gromadzenia odpadów komunalnych w wydzielonych i odpowiednio zabezpieczonych miejscach, w sposób zgodny z regulaminem utrzymania czystości i porządku w gminie oraz przepisami odrębnymi.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ab/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8.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obszarze planu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ochronę naturalnych zbiorowisk roślinnych, z dopuszczeniem nowych </w:t>
      </w:r>
      <w:proofErr w:type="spellStart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nasadzeń</w:t>
      </w:r>
      <w:proofErr w:type="spellEnd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zieleni;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zachowanie istniejących wód powierzchniowych na terenach oznaczonych na rysunku planu symbolem 1WS, 2WS;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zachowanie istniejących łąk i pastwisk na terenie 1RNL i 2RNL;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ochronę wód powierzchniowych i podziemnych przed zanieczyszczeniami;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zagospodarowanie zielenią wolnych od utwardzenia terenów;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6)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zakaz lokalizacji przedsięwzięć mogących znacząco oddziaływać na środowisko z wyjątkiem inwestycji celu publicznego z zakresu infrastruktury technicznej;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7)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zakaz lokalizacji zakładów o dużym i zwiększonym ryzyku wystąpienia poważnej awarii przemysłowej.</w:t>
      </w:r>
    </w:p>
    <w:p w:rsidR="00A77B3E" w:rsidRPr="00382367" w:rsidRDefault="00453FE8" w:rsidP="00382367">
      <w:pPr>
        <w:keepNext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4.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Zasady ochrony dziedzictwa kulturowego i zabytków, w tym krajobrazów kulturowych, oraz dóbr kultury współczesnej</w:t>
      </w:r>
    </w:p>
    <w:p w:rsid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9.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Nie podejmuje się ustaleń.</w:t>
      </w:r>
    </w:p>
    <w:p w:rsidR="00382367" w:rsidRDefault="00453FE8" w:rsidP="00382367">
      <w:pPr>
        <w:keepLines/>
        <w:spacing w:before="120" w:after="120" w:line="276" w:lineRule="auto"/>
        <w:ind w:firstLine="340"/>
        <w:jc w:val="center"/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Rozdział 5</w:t>
      </w:r>
      <w:r w:rsid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Wymagania wynikające z potrzeb kształtowania przestrzeni publicznych</w:t>
      </w:r>
    </w:p>
    <w:p w:rsid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10.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Nie podejmuje się ustaleń.</w:t>
      </w:r>
    </w:p>
    <w:p w:rsidR="00382367" w:rsidRDefault="00453FE8" w:rsidP="00382367">
      <w:pPr>
        <w:keepLines/>
        <w:spacing w:before="120" w:after="120" w:line="276" w:lineRule="auto"/>
        <w:ind w:firstLine="340"/>
        <w:jc w:val="center"/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Rozdział 6</w:t>
      </w:r>
      <w:r w:rsid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Zasady kształtowania zabudowy oraz wskaźniki zagospodarowania terenu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Dla terenów zabudowy mieszkaniowej jednorodzinnej wolnostojącej, oznaczonych na rysunku planu symbolem 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1MNW, 2MNW, 3MNW, 4MNW, 5MNW, 6MNW, 7MNW, 8MNW, 9MNW, 10MNW, 11MNW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utrzymuje się w planie istniejącą zabudowę;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wysokość budynków mieszkalnych jednorodzinnych - do II kondygnacji nadziemnych w tym poddasze użytkowe;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zakaz lokalizacji budynków mieszkalnych o wysokości powyżej 9,0 m w kalenicy dachu;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budynków mieszkalnych jednorodzinnych dachy strome dwu,- lub wielospadowe, o nachyleniu głównych połaci dachowych od 30° do 45°;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budynków gospodarczych, garażowych i gospodarczo-garażowych oraz wiat: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wysokość – I kondygnacja, max. 5,5 m w kalenicy dachu,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powierzchnię zabudowy - 50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lastRenderedPageBreak/>
        <w:t>c)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dachy płaskie lub strome o nachyleniu połaci dachowych od 25° do 45°,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6)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powierzchnię biologicznie czynną – 40% powierzchni działki budowlanej;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7)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powierzchnię zabudowy działki budowlanej – 30%;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8)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intensywność zabudowy – 0,05;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9)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intensywność zabudowy – 0,6;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10)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powierzchnię nowo wydzielanej działki budowlanej 800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 z wyjątkiem działek wydzielanych dla realizacji sieci i urządzeń infrastruktury technicznej, dojść i dojazdów, powiększenia nieruchomości sąsiedniej oraz regulacji granic pomiędzy nieruchomościami;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obowiązek zapewnienia miejsc do parkowania realizowanych w ramach własnej posesji – min. 1 miejsce parkingowe przypadające na każdy lokal mieszkalny.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Dla terenów zabudowy mieszkaniowej jednorodzinnej wolnostojącej lub usług, oznaczonych symbolem 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1MNW-U, 2MNW-U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wysokość budynków mieszkalnych i usługowych do II kondygnacji nadziemnych, w tym poddasze użytkowe;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zakaz realizacji budynków o wysokości powyżej 9,0 m w kalenicy dachu;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wysokość wolnostojących budynków gospodarczych i garażowych oraz wiat – I kondygnacja, max. 5,5 m;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budynków mieszkalnych, usługowych, gospodarczo-garażowych oraz wiat dachy strome dwu,- lub wielospadowe, o nachyleniu głównych połaci dachowych od 25° do 45°, z zastrzeżeniem pkt 5) i 6);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zachowanie symetrycznie pochylonych głównych połaci w przypadku realizacji dachów dwuspadowych;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6)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budynków usługowych, garażowych, gospodarczych oraz wiat dopuszcza się realizację dachów płaskich;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7)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powierzchnię biologicznie czynną – 30% powierzchni działki budowlanej;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8)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powierzchnię zabudowy działki budowlanej – 40%;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9)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intensywność zabudowy działki budowlanej – 0,08;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10)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intensywność zabudowy działki budowlanej – 0,8;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obowiązek zapewnienia miejsc do parkowania realizowanych w ramach własnej posesji: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zabudowy mieszkaniowej – min. 1 stanowisko przypadające na 1 lokal mieszkalny,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zabudowy usługowej w zależności od potrzeb jednak nie mniej niż 2 stanowiska na każde 100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powierzchni użytkowej, w tym miejsca przeznaczone na parkowanie pojazdów zaopatrzonych w kartę parkingową zgodnie z przepisami odrębnymi,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minimalną powierzchnię nowo wydzielanej działki budowlanej – 800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 z wyjątkiem działek wydzielanych dla realizacji sieci i urządzeń infrastruktury technicznej, dojść i dojazdów, powiększenia nieruchomości sąsiedniej oraz regulacji granic pomiędzy nieruchomościami;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Dla terenu usług lub produkcji oznaczonego na rysunku planu symbolem 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U-P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wysokość budynków do II kondygnacji nadziemnych, z zakazem lokalizacji budynków o wysokości powyżej 11,0 m;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dachy płaskie lub strome o nachyleniu połaci dachowych od 20° do 35°;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intensywność zabudowy działki budowlanej – 0,0;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4)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intensywność zabudowy działki budowlanej – 1,2;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5)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minimalną powierzchnię biologicznie czynną – 30% powierzchni działki budowlanej;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6)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maksymalną powierzchnię zabudowy działki budowlanej – 60%;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lastRenderedPageBreak/>
        <w:t>7)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należy zapewnić odpowiednią liczbę miejsc parkingowych i placów manewrowych w ramach działki budowlanej – minimum 2 stanowiska postojowe na każde 100 m² powierzchni użytkowej lub na każdych 5 zatrudnionych, w tym miejsca przeznaczone na parkowanie pojazdów zaopatrzonych w kartę parkingową zgodnie z przepisami odrębnymi,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8)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minimalną powierzchnię nowo wydzielanych działek budowlanych – 2 000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 z wyjątkiem działek wydzielanych dla realizacji sieci i urządzeń infrastruktury technicznej, dojść i dojazdów.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14.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terenów łąk i pastwisk oznaczonych na rysunku planu symbolem 1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RNL, 2RNL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ustala się minimalny udział powierzchni biologicznie czynnej 90% powierzchni terenu.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7.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Granice i sposoby zagospodarowania terenów lub obiektów podlegających ochronie, ustalonych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15.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Nie podejmuje się ustaleń.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8.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Szczegółowe zasady i warunki scalania i podziału nieruchomości objętych planem miejscowym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16.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minimalne powierzchnie nowo wydzielanych działek, z wyłączeniem działek przeznaczonych pod sieci i urządzenia infrastruktury technicznej: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terenów oznaczonych symbolem 1MNW, 2MNW, 3MNW, 4MNW, 5MNW, 6MNW, 7MNW, 8MNW, 9MNW, 10MNW, 11MNW, 1MNW-U, 2MNW-U - 800 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terenu usług lub produkcji U-P – 2000m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  <w:vertAlign w:val="superscript"/>
        </w:rPr>
        <w:t xml:space="preserve">2 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minimalną szerokość frontu działki z wyłączeniem działek narożnych – 20,0m.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Fronty nowo wydzielanych działek budowlanych muszą być usytuowane pod kątem prostym, z tolerancją +/- 30° w stosunku do pasa drogowego.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9.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Szczególne warunki zagospodarowania terenów oraz ograniczenia w ich użytkowaniu, w tym zakaz zabudowy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17.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Wzdłuż napowietrznych linii elektroenergetycznych średniego napięcia SN 15 </w:t>
      </w:r>
      <w:proofErr w:type="spellStart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kV</w:t>
      </w:r>
      <w:proofErr w:type="spellEnd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do czasu ich skablowania obowiązuje obszar oddziaływania obiektu o szerokości 14,0 m, po 7,0 m po każdej ze stron od osi linii.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 obszarze o którym mowa w ust.1 ustala się zakaz lokalizacji budowli takich jak maszty, instalacji fotowoltaicznych oraz zieleni wysokiej.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Ustala się zakaz dokonywania </w:t>
      </w:r>
      <w:proofErr w:type="spellStart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nasadzeń</w:t>
      </w:r>
      <w:proofErr w:type="spellEnd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zieleni w odległości 1,5 m od osi istniejących elektroenergetycznych linii kablowych.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18.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obowiązek uwzględnienia w zagospodarowaniu terenu ograniczeń wynikających z przebiegu pozostałych sieci infrastruktury technicznej zgodnie z przepisami odrębnymi.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10.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Zasady modernizacji, rozbudowy i budowy systemów komunikacji i infrastruktury technicznej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19.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obsługę komunikacyjną obszaru z istniejących dróg gminnych, projektowanych terenów komunikacji drogowej wewnętrznej KR oraz dojść i dojazdów, o których mowa w § 5 pkt 2 lit. c).</w:t>
      </w:r>
    </w:p>
    <w:p w:rsidR="00A77B3E" w:rsidRPr="00382367" w:rsidRDefault="00453FE8" w:rsidP="00382367">
      <w:pPr>
        <w:keepLines/>
        <w:spacing w:before="120" w:after="120" w:line="276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terenów komunikacji drogowej wewnętrznej 1KR, 2KR, 3KR, 4KR, 5KR, 6KR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drogi jednojezdniowe lub ciągi </w:t>
      </w:r>
      <w:proofErr w:type="spellStart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pieszojezdne</w:t>
      </w:r>
      <w:proofErr w:type="spellEnd"/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, z możliwością realizacji chodników,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szerokość w liniach rozgraniczających: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a)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1KR – szerokość zmienna zgodnie z rysunkiem planu, zakończona placem manewrowym,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lastRenderedPageBreak/>
        <w:t>b)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2KR – 8,0 m,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c)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3KR – 8,0 m zakończona placem manewrowym,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d)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4KR – utrzymuje się dotychczasową szerokość zgodnie z rysunkiem planu,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e)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5KR – 6,0 m zakończona placem manewrowym,</w:t>
      </w:r>
    </w:p>
    <w:p w:rsidR="00A77B3E" w:rsidRPr="00382367" w:rsidRDefault="00453FE8" w:rsidP="00382367">
      <w:pPr>
        <w:keepLines/>
        <w:spacing w:before="120" w:after="120" w:line="276" w:lineRule="auto"/>
        <w:ind w:left="567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f)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6KR – trójkąt widoczności, zgodnie z rysunkiem planu,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dopuszczalna lokalizacja – nasadzenia zieleni, sieci i urządzenia infrastruktury technicznej, obiekty małej architektury.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20.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Dostawa wody z istniejącej i projektowanej sieci wodociągowej.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Należy zapewnić zaopatrzenie w wodę do zewnętrznego gaszenia pożaru dla terenu zgodnie z przepisami odrębnymi.</w:t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ab/>
      </w:r>
    </w:p>
    <w:p w:rsid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Na obszarze objętym planem obowiązują następujące ustalenia w zakresie odprowadzania ścieków: </w:t>
      </w:r>
    </w:p>
    <w:p w:rsid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1) odprowadzanie ścieków komunalnych do oczyszczalni ścieków, poprzez projektowaną sieć kanalizacji sanitarnej; 2) do czasu wybudowania kanalizacji dopuszczenie odprowadzania ścieków do szczelnych zbiorników bezodpływowych; 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3) wody opadowe i roztopowe należy odprowadzić na własny teren nieutwardzony, do dołów chłonnych lub do zbiorników retencyjnych zgodnie z przepisami odrębnymi.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22.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 zakresie zaopatrzenia w gaz ziemny ustala się: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zasilanie z projektowanych gazociągów niskiego ciśnienia;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 się zaopatrzenie w gaz ze źródeł indywidualnych.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23.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 obszarze objętym planem obowiązują następujące ustalenia w zakresie zaopatrzenia w ciepło: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1)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nakazuje się stosowanie urządzeń grzewczych charakteryzujących się wysokim stopniem sprawności, i niskim stopniem emisji zanieczyszczeń;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2)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stosowanie przy pozyskaniu ciepła dla celów grzewczych paliw charakteryzujących się najniższymi wskaźnikami emisyjnymi – gazowych, ciekłych i stałych oraz wykorzystanie energii elektrycznej i odnawialnych źródeł energii;</w:t>
      </w:r>
    </w:p>
    <w:p w:rsidR="00A77B3E" w:rsidRPr="00382367" w:rsidRDefault="00453FE8" w:rsidP="00382367">
      <w:pPr>
        <w:spacing w:before="120" w:after="120" w:line="276" w:lineRule="auto"/>
        <w:ind w:left="340" w:hanging="227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sz w:val="21"/>
          <w:szCs w:val="21"/>
        </w:rPr>
        <w:t>3)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ustala się zachowanie wymagań zawartych w przepisach odrębnych, w szczególności w uchwale samorządu województwa w sprawie wprowadzenia na obszarze województwa wielkopolskiego, ograniczeń lub zakazów w zakresie eksploatacji instalacji w których następuje spalanie paliw.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24. </w:t>
      </w:r>
      <w:r w:rsidRPr="00382367">
        <w:rPr>
          <w:rFonts w:ascii="Times New Roman" w:hAnsi="Times New Roman" w:cs="Times New Roman"/>
          <w:sz w:val="21"/>
          <w:szCs w:val="21"/>
        </w:rPr>
        <w:t>1. 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Zasilanie obszaru objętego planem w energię elektryczną następować będzie z istniejącej i projektowanej sieci energetycznej niskiego napięcia. 2. Dla usytuowania urządzeń elektroenergetycznych, w tym stacji transformatorowych nie jest wymagane zachowanie linii zabudowy. 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11.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Sposób i termin tymczasowego zagospodarowania, urządzania i użytkowania terenów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25.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Dla terenu objętego planem nie określa się sposobu i terminu tymczasowego zagospodarowania, urządzania i użytkowania terenu.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Rozdział 12.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Stawki procentowe, na podstawie których ustala się opłatę, o której mowa w art. 36 ust. 4. ustawy o planowaniu i zagospodarowaniu przestrzennym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26.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Zgodnie z art. 15 ust. 2 pkt. 12, art. 36 ust. 4 ustawy z dnia 27 marca 2003 r. o planowaniu i zagospodarowaniu przestrzennym dla terenów o nowych funkcjach, wyznaczonych w planie, ustala się 30% stawkę służącą naliczaniu opłaty z tytułu wzrostu wartości nieruchomości.</w:t>
      </w:r>
    </w:p>
    <w:p w:rsidR="00A77B3E" w:rsidRPr="00382367" w:rsidRDefault="00453FE8" w:rsidP="00382367">
      <w:pPr>
        <w:keepNext/>
        <w:keepLines/>
        <w:spacing w:line="276" w:lineRule="auto"/>
        <w:jc w:val="center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caps/>
          <w:sz w:val="21"/>
          <w:szCs w:val="21"/>
        </w:rPr>
        <w:lastRenderedPageBreak/>
        <w:t>Dział III.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Przepisy końcowe</w:t>
      </w:r>
      <w:r w:rsidR="00382367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hAnsi="Times New Roman" w:cs="Times New Roman"/>
          <w:b/>
          <w:sz w:val="21"/>
          <w:szCs w:val="21"/>
        </w:rPr>
        <w:t>§ 27.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Wykonanie uchwały powierza się Burmistrzowi Rogoźna.</w:t>
      </w:r>
    </w:p>
    <w:p w:rsidR="00A77B3E" w:rsidRPr="00382367" w:rsidRDefault="00453FE8" w:rsidP="00382367">
      <w:pPr>
        <w:keepLines/>
        <w:spacing w:before="120" w:after="12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 w:rsidRPr="00382367">
        <w:rPr>
          <w:rFonts w:ascii="Times New Roman" w:hAnsi="Times New Roman" w:cs="Times New Roman"/>
          <w:b/>
          <w:sz w:val="21"/>
          <w:szCs w:val="21"/>
        </w:rPr>
        <w:t>§ 28. 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>Uchwała wchodzi w życie po upływie 14 dni od dnia ogłoszenia w Dzienniku Urzędowym Województwa Wielkopolskiego.</w:t>
      </w:r>
    </w:p>
    <w:p w:rsidR="00A77B3E" w:rsidRPr="00382367" w:rsidRDefault="00453FE8" w:rsidP="00382367">
      <w:pPr>
        <w:keepLines/>
        <w:spacing w:line="276" w:lineRule="auto"/>
        <w:ind w:left="4535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382367">
        <w:rPr>
          <w:rFonts w:ascii="Times New Roman" w:hAnsi="Times New Roman" w:cs="Times New Roman"/>
          <w:sz w:val="21"/>
          <w:szCs w:val="21"/>
        </w:rPr>
        <w:t>Załącznik  nr  1 do uchwały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Rady Miejskiej w Rogoźnie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z dnia 13 lutego 2026 r.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9" w:history="1">
        <w:r w:rsidRPr="00382367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Zalacznik1.pdf</w:t>
        </w:r>
      </w:hyperlink>
    </w:p>
    <w:p w:rsidR="00A77B3E" w:rsidRPr="00382367" w:rsidRDefault="00453FE8" w:rsidP="00382367">
      <w:pPr>
        <w:keepLines/>
        <w:spacing w:line="276" w:lineRule="auto"/>
        <w:ind w:left="4535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382367">
        <w:rPr>
          <w:rFonts w:ascii="Times New Roman" w:hAnsi="Times New Roman" w:cs="Times New Roman"/>
          <w:sz w:val="21"/>
          <w:szCs w:val="21"/>
        </w:rPr>
        <w:t>Załącznik  nr  2 do uchwały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Rady Miejskiej w Rogoźnie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z dnia 13 lutego 2026 r.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11" w:history="1">
        <w:r w:rsidRPr="00382367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Zalacznik2.pdf</w:t>
        </w:r>
      </w:hyperlink>
    </w:p>
    <w:p w:rsidR="00A77B3E" w:rsidRPr="00382367" w:rsidRDefault="00453FE8" w:rsidP="00382367">
      <w:pPr>
        <w:keepLines/>
        <w:spacing w:line="276" w:lineRule="auto"/>
        <w:ind w:left="4535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382367">
        <w:rPr>
          <w:rFonts w:ascii="Times New Roman" w:hAnsi="Times New Roman" w:cs="Times New Roman"/>
          <w:sz w:val="21"/>
          <w:szCs w:val="21"/>
        </w:rPr>
        <w:t>Załącznik  nr  3 do uchwały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Rady Miejskiej w Rogoźnie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z dnia 13 lutego 2026 r.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13" w:history="1">
        <w:r w:rsidRPr="00382367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Zalacznik3.pdf</w:t>
        </w:r>
      </w:hyperlink>
    </w:p>
    <w:p w:rsidR="00A77B3E" w:rsidRPr="00382367" w:rsidRDefault="00453FE8" w:rsidP="00382367">
      <w:pPr>
        <w:keepLines/>
        <w:spacing w:line="276" w:lineRule="auto"/>
        <w:ind w:left="4535"/>
        <w:jc w:val="right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1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382367">
        <w:rPr>
          <w:rFonts w:ascii="Times New Roman" w:hAnsi="Times New Roman" w:cs="Times New Roman"/>
          <w:sz w:val="21"/>
          <w:szCs w:val="21"/>
        </w:rPr>
        <w:t>Załącznik  nr  4 do uchwały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Rady Miejskiej w Rogoźnie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z dnia 13 lutego 2026 r.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15" w:history="1">
        <w:r w:rsidRPr="00382367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Zalacznik4.pdf</w:t>
        </w:r>
      </w:hyperlink>
    </w:p>
    <w:p w:rsidR="00A77B3E" w:rsidRPr="00382367" w:rsidRDefault="00453FE8" w:rsidP="00382367">
      <w:pPr>
        <w:keepLines/>
        <w:spacing w:line="276" w:lineRule="auto"/>
        <w:ind w:left="4535"/>
        <w:jc w:val="right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382367">
          <w:footerReference w:type="default" r:id="rId1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382367">
        <w:rPr>
          <w:rFonts w:ascii="Times New Roman" w:hAnsi="Times New Roman" w:cs="Times New Roman"/>
          <w:sz w:val="21"/>
          <w:szCs w:val="21"/>
        </w:rPr>
        <w:t>Załącznik  nr  5 do uchwały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Rady Miejskiej w Rogoźnie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hAnsi="Times New Roman" w:cs="Times New Roman"/>
          <w:sz w:val="21"/>
          <w:szCs w:val="21"/>
        </w:rPr>
        <w:t>z dnia 13 lutego 2026 r.</w:t>
      </w:r>
      <w:r w:rsidRPr="00382367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17" w:history="1">
        <w:r w:rsidRPr="00382367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Zalacznik5.pdf</w:t>
        </w:r>
      </w:hyperlink>
    </w:p>
    <w:p w:rsidR="009E38AD" w:rsidRPr="00382367" w:rsidRDefault="009E38AD" w:rsidP="00382367">
      <w:p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9E38AD" w:rsidRPr="00382367" w:rsidRDefault="00453FE8" w:rsidP="00382367">
      <w:pPr>
        <w:spacing w:line="276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b/>
          <w:sz w:val="21"/>
          <w:szCs w:val="21"/>
        </w:rPr>
        <w:t>Uzasadnienie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Do rozpoczęcia prac nad miejscowym planem zagospodarowania przestrzennego dla terenu w miejscowości Parkowo przystąpiono po podjęciu Uchwały Nr LXXXVI/930/2023 Rady Miejskiej w Rogoźnie z dnia 27.09.2023 r. Obszar planu obejmuje działki położone w obrębie geodezyjnym Parkowo przy drogach gminnych oraz drodze powiatowej 2038P. Powierzchnia planu wynosi 11,7 ha. W wyniku przeprowadzonych analiz zdecydowano się na przystąpienie do opracowania miejscowego planu. Ustalenia planu uwzględniają politykę przestrzenną gminy określoną w zaktualizowanym studium uwarunkowań i kierunków zagospodarowania przestrzennego gminy Rogoźno.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 xml:space="preserve">W związku z nie uzyskaniem zgody na zmianę przeznaczenia gruntów rolnych klasy </w:t>
      </w:r>
      <w:proofErr w:type="spellStart"/>
      <w:r w:rsidRPr="00382367">
        <w:rPr>
          <w:rFonts w:ascii="Times New Roman" w:eastAsia="Times New Roman" w:hAnsi="Times New Roman" w:cs="Times New Roman"/>
          <w:sz w:val="21"/>
          <w:szCs w:val="21"/>
        </w:rPr>
        <w:t>IIIa</w:t>
      </w:r>
      <w:proofErr w:type="spellEnd"/>
      <w:r w:rsidRPr="00382367">
        <w:rPr>
          <w:rFonts w:ascii="Times New Roman" w:eastAsia="Times New Roman" w:hAnsi="Times New Roman" w:cs="Times New Roman"/>
          <w:sz w:val="21"/>
          <w:szCs w:val="21"/>
        </w:rPr>
        <w:t xml:space="preserve"> o pow. 0,4950ha na cele na cele nierolnicze z opracowania planu wyłączono działki o nr </w:t>
      </w:r>
      <w:proofErr w:type="spellStart"/>
      <w:r w:rsidRPr="00382367">
        <w:rPr>
          <w:rFonts w:ascii="Times New Roman" w:eastAsia="Times New Roman" w:hAnsi="Times New Roman" w:cs="Times New Roman"/>
          <w:sz w:val="21"/>
          <w:szCs w:val="21"/>
        </w:rPr>
        <w:t>ewid</w:t>
      </w:r>
      <w:proofErr w:type="spellEnd"/>
      <w:r w:rsidRPr="00382367">
        <w:rPr>
          <w:rFonts w:ascii="Times New Roman" w:eastAsia="Times New Roman" w:hAnsi="Times New Roman" w:cs="Times New Roman"/>
          <w:sz w:val="21"/>
          <w:szCs w:val="21"/>
        </w:rPr>
        <w:t>. 419/2, 419/3 i 419/4.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W trakcie trwania procedury planistycznej zawiadomiono w miejscowej prasie, na stronie internetowej BIP oraz przez obwieszczenie o podjęciu uchwały o przystąpieniu do sporządzania planu. Jednocześnie zawiadomiono instytucje i organy właściwe do uzgadniania i opiniowania projektu miejscowego planu zagospodarowania przestrzennego. Do projektu planu miejscowego, stosownie do wymogów ustawy o planowaniu i zagospodarowaniu przestrzennym, a także zgodnie z przepisami odrębnymi, opracowano prognozę oddziaływania na środowisko oraz prognozę skutków finansowych uchwalenia planu.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 xml:space="preserve">W okresie od 5 grudnia 2025r. do 9 stycznia 2026r. projekt miejscowego planu zagospodarowania wraz </w:t>
      </w:r>
      <w:r w:rsidR="00382367">
        <w:rPr>
          <w:rFonts w:ascii="Times New Roman" w:eastAsia="Times New Roman" w:hAnsi="Times New Roman" w:cs="Times New Roman"/>
          <w:sz w:val="21"/>
          <w:szCs w:val="21"/>
        </w:rPr>
        <w:br/>
      </w:r>
      <w:r w:rsidRPr="00382367">
        <w:rPr>
          <w:rFonts w:ascii="Times New Roman" w:eastAsia="Times New Roman" w:hAnsi="Times New Roman" w:cs="Times New Roman"/>
          <w:sz w:val="21"/>
          <w:szCs w:val="21"/>
        </w:rPr>
        <w:t>z prognozą oddziaływania na środowisko był udostępniony w ramach przeprowadzanych konsultacji społecznych. Uwagi nie wpłynęły.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Zgodnie z art.1 ust. 2 ustawy o planowaniu i zagospodarowaniu przestrzennym projekt miejscowego planu zagospodarowania przestrzennego uwzględnia: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1)wymagania ładu przestrzennego, w tym urbanistyki i architektury poprzez określenie parametrów zabudowy, oraz zapisy zawarte w rozdziale 2;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 xml:space="preserve">- w projekcie planu został określony rodzaj, charakter i parametry zabudowy, gabaryty obiektów z geometrią </w:t>
      </w:r>
      <w:r w:rsidR="00382367">
        <w:rPr>
          <w:rFonts w:ascii="Times New Roman" w:eastAsia="Times New Roman" w:hAnsi="Times New Roman" w:cs="Times New Roman"/>
          <w:sz w:val="21"/>
          <w:szCs w:val="21"/>
        </w:rPr>
        <w:br/>
      </w:r>
      <w:r w:rsidRPr="00382367">
        <w:rPr>
          <w:rFonts w:ascii="Times New Roman" w:eastAsia="Times New Roman" w:hAnsi="Times New Roman" w:cs="Times New Roman"/>
          <w:sz w:val="21"/>
          <w:szCs w:val="21"/>
        </w:rPr>
        <w:t>i rodzajem dachu, powierzchnie, jakie mogą być przeznaczone pod zabudowę, a także minimalne powierzchnie biologicznie czynne,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2)walory architektoniczne i krajobrazowe poprzez m.in.: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szczegółowe określenie w planie parametrów i rodzajów zabudowy zawartych w rozdziale 1 i 6,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usytuowanie na rysunku planu nieprzekraczalnych linii zabudowy,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określenie minimalnej powierzchni biologicznie czynnej przy zagospodarowaniu terenu,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3)wymagania ochrony środowiska, w tym gospodarowania wodami i ochrony gruntów rolnych i leśnych poprzez m.in.: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zapisy zawarte w rozdziale 3 dotyczące ochrony środowiska,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na obszarze planu znajdują się grunty orne niższych klas, które nie mają dużego znaczenia pod względem produkcji rolnej,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4)wymagania ochrony dziedzictwa kulturowego i zabytków oraz dóbr kultury współczesnej – poprzez m.in.: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na obszarze planu obiekty zabytkowe nie występują,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5)wymagania ochrony zdrowia i bezpieczeństwa ludzi i mienia, a także potrzeby osób niepełnosprawnych –poprzez m.in.: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o konieczności zachowania odpowiednich standardów akustycznych,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określenie min. powierzchni biologicznie czynnych i max. powierzchni zabudowy,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nakazie stosowania ekologicznych źródeł energii do ogrzewania budynków,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warunkiem utrzymania stanu ochrony zdrowia ludzi jest również przestrzeganie ustaleń zawartych w planie, pozwalających na minimalizację emisji zanieczyszczeń i hałasu,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6)walory ekonomiczne przestrzeni – poprzez ich zachowanie;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7)prawo własności – plan uwzględnia istniejące prawo własności, teren stanowi własność prywatną;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8)potrzeby obronności i bezpieczeństwa państwa – plan podlega uzgodnieniu z właściwymi organami wojskowymi, ochrony granic oraz bezpieczeństwa państwa,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9)potrzeby interesu publicznego – zachowano linie zabudowy usytuowane od istniejących dróg,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10)potrzeby w zakresie rozwoju infrastruktury technicznej, w szczególności sieci szerokopasmowych – poprzez m.in. zapisy zawarte w Rozdziale 10 pt. „Zasady modernizacji, rozbudowy i budowy systemów komunikacji </w:t>
      </w:r>
      <w:r w:rsidR="00382367">
        <w:rPr>
          <w:rFonts w:ascii="Times New Roman" w:eastAsia="Times New Roman" w:hAnsi="Times New Roman" w:cs="Times New Roman"/>
          <w:sz w:val="21"/>
          <w:szCs w:val="21"/>
        </w:rPr>
        <w:br/>
      </w:r>
      <w:r w:rsidRPr="00382367">
        <w:rPr>
          <w:rFonts w:ascii="Times New Roman" w:eastAsia="Times New Roman" w:hAnsi="Times New Roman" w:cs="Times New Roman"/>
          <w:sz w:val="21"/>
          <w:szCs w:val="21"/>
        </w:rPr>
        <w:t>i infrastruktury technicznej”,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11)zapewnienie udziału społeczeństwa w pracach nad studium uwarunkowań i kierunków zagospodarowania przestrzennego gminy, miejscowym planem zagospodarowania przestrzennego oraz planem zagospodarowania przestrzennego województwa, w tym przy użyciu środków komunikacji elektronicznej – poprzez m.in.: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zawiadomienia o przystąpieniu do sporządzania planu, które zamieszczono na tablicy ogłoszeń, lokalnej prasie, oraz na stronach internetowych gminy,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- przyjmowaniu wniosków do planu,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12) w trakcie prac nad planem zachowano jawność i przejrzystość procedur planistycznych;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82367">
        <w:rPr>
          <w:rFonts w:ascii="Times New Roman" w:eastAsia="Times New Roman" w:hAnsi="Times New Roman" w:cs="Times New Roman"/>
          <w:sz w:val="21"/>
          <w:szCs w:val="21"/>
        </w:rPr>
        <w:t>13) projekt planu zapewnia potrzebę zapewnienia odpowiedniej ilości i jakości wody, do celów zaopatrzenia ludności.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Zgodnie z art.1 ust.3 ustawy o planowaniu i zagospodarowaniu przestrzennym w trakcie sporządzania miejscowego planu zagospodarowania przestrzennego ustalając przeznaczenie terenu lub określając potencjalny sposób zagospodarowania i korzystania z terenu, organ waży interes publiczny i interesy prywatne, w tym zgłaszane w postaci wniosków i uwag, zmierzające do ochrony istniejącego stanu zagospodarowania terenu, jak i zmian </w:t>
      </w:r>
      <w:r w:rsidR="00382367">
        <w:rPr>
          <w:rFonts w:ascii="Times New Roman" w:eastAsia="Times New Roman" w:hAnsi="Times New Roman" w:cs="Times New Roman"/>
          <w:sz w:val="21"/>
          <w:szCs w:val="21"/>
          <w:u w:val="single"/>
        </w:rPr>
        <w:br/>
      </w:r>
      <w:r w:rsidRPr="00382367"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w zakresie jego zagospodarowania, a także analizy ekonomiczne, środowiskowe i społeczne. 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W wyniku przeprowadzonych analiz zdecydowano się na przystąpienie do opracowania miejscowego planu obejmującego tereny położone w rejonie wsi Parkowo. Głównym przeznaczeniem są tereny zabudowy mieszkaniowej jednorodzinnej oraz teren usług lub produkcji, co jest zgodne ze studium uwarunkowań i kierunków zagospodarowania przestrzennego gminy Rogoźno. Taka funkcja nie koliduje również z terenami sąsiednimi.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Zgodnie z art.1 ust. 4 ustawy o planowaniu i zagospodarowaniu przestrzennym, w trakcie sporządzania miejscowego planu zagospodarowania przestrzennego w przypadku sytuowania nowej zabudowy, uwzględnienie wymagań ładu przestrzennego, efektywnego gospodarowania przestrzenią oraz walorów ekonomicznych przestrzeni następuje poprzez: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1) kształtowanie struktur przestrzennych przy uwzględnieniu dążenia do minimalizowania transportochłonności układu przestrzennego;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2) lokalizowanie nowej zabudowy mieszkaniowej w sposób umożliwiający mieszkańcom maksymalne wykorzystanie publicznego transportu zbiorowego jako podstawowego środka transportu;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3) zapewnianie rozwiązań przestrzennych, ułatwiających przemieszczanie się pieszych i rowerzystów;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4) dążenie do planowania i lokalizowania nowej zabudowy: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a) na obszarach o w pełni wykształconej zwartej strukturze funkcjonalno-przestrzennej, w granicach jednostki osadniczej w rozumieniu art. 2 pkt 1 ustawy z dnia 29 sierpnia 2003 r. o urzędowych nazwach miejscowości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 obiektów fizjograficznych (Dz. U. Nr 166, poz. 1612 oraz z 2005 r. Nr 17, poz. 141), w szczególności poprzez uzupełnianie istniejącej zabudowy,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b) na terenach położonych na obszarach innych niż wymienione w lit. a, wyłącznie w sytuacji braku dostatecznej ilości terenów przeznaczonych pod dany rodzaj zabudowy położonych na obszarach, o których mowa w lit. a; przy czym w pierwszej kolejności na obszarach w najwyższym stopniu przygotowanych do zabudowy, przez co rozumie się obszary charakteryzujące się najlepszym dostępem do sieci komunikacyjnej oraz najlepszym stopniem wyposażenia w sieci wodociągowe, kanalizacyjne, elektroenergetyczne, gazowe, ciepłownicze oraz sieci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 urządzenia telekomunikacyjne, adekwatnych dla nowej, planowanej zabudowy.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Obszary objęte planem są położone bezpośrednio przy istniejących drogach gminnych oraz powiatowej przez co mają zapewniony dostęp komunikacyjny. Uzupełnieniem tego są wyznaczone w planie drogi o charakterze wewnętrznym KR. Na obszarze tym, jak i jego sąsiedztwie znajduje się zabudowa już istniejącej. W sąsiedztwie jest podstawowa infrastruktura techniczna – wodociąg i energię elektryczną.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 xml:space="preserve">Zgodność z wynikami analizy, o której mowa w art. 32 ust. 1, wraz datą uchwały rady gminy, o której mowa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w art. 32 ust. 2 ustawy o planowaniu i zagospodarowaniu przestrzennym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W obecnej kadencji Rada Miejska nie podejmowała jeszcze uchwały w sprawie aktualności planu ogólnego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 planów miejscowych.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Wpływ na finanse publiczne, w tym budżet gminy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1.Prognoza wpływu ustaleń planu miejscowego na dochody własne i wydatki gminy.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lastRenderedPageBreak/>
        <w:t xml:space="preserve">W planie wyznaczono nowe tereny zabudowy mieszkaniowej jednorodzinnej, teren zabudowy mieszkaniowej jednorodzinnej z usługami oraz teren istniejącego zakładu </w:t>
      </w:r>
      <w:proofErr w:type="spellStart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produkcyjno</w:t>
      </w:r>
      <w:proofErr w:type="spellEnd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 usługowego U-P. Ponadto wyznaczono układ dróg wewnętrznych i tereny rolnicze. Po uchwaleniu planu będzie pobierany głównie podatek od nieruchomości, terenów MNW, MNW-U których powierzchnia łączna wynosi odpowiednio 7,5794 ha i 0,7372ha. Podatek ten wg stawki określonej na rok 2025r. (0,71 zł/m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) będzie wynosił 59047,86 zł. Dodatkowo zostanie naliczony podatek od terenu U-P (0,9960ha) i dróg wewnętrznych (0,4913ha) w wysokości 10599,83,- zł.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ab/>
        <w:t>Plan dopuszcza zabudowę na terenach MNW na powierzchni maksymalnej 30% i II kondygnacjach nadziemnych. Otrzymujemy wówczas maksymalnie 45474,- m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  <w:vertAlign w:val="superscript"/>
        </w:rPr>
        <w:t xml:space="preserve">2 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x 1,16 zł = 52749,84,- zł podatku od budynków mieszkalnych. W przypadku terenu MNW-U plan dopuszcza zabudowę na pow. 40% działki budowlanej. Dla tego terenu założono, że połowa zostanie przeznaczona na zabudowę mieszkaniową, a reszta na usługową: 2948 m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  <w:vertAlign w:val="superscript"/>
        </w:rPr>
        <w:t>2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 x 0,71 zł = 2093,- zł oraz 3686 m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  <w:vertAlign w:val="superscript"/>
        </w:rPr>
        <w:t xml:space="preserve">2 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x 33,02,- zł = 121711,72,- zł. Teren U-P jest już zainwestowany i podatki nie ulegną zmianie. Łącznie daje to kwotę 246 202,25 zł. Jest to podatek znacznie wyższy niż od podatku rolnego jaki był dotychczas naliczany: 2109,69 zł. (215,85,- zł/ 1ha). W przypadku sprzedaży gruntów nalicza się 2% podatek od wartości transakcji: 75794 m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  <w:vertAlign w:val="superscript"/>
        </w:rPr>
        <w:t xml:space="preserve">2 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x 200,- zł (średnia cena) x 2% = 303 176,- zł.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2. Prognoza wpływu ustaleń planu na wydatki związane z realizacją inwestycji z zakresu infrastruktury technicznej, które należą do zadań własnych gminy.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Na obszarze planu sieć wodociągowa i kanalizacyjna przebiega w istniejących drogach. Sieć musi zostać rozprowadzona w odcinkach nowo projektowanych dróg wewnętrznych o łącznej długości 406 m. Orientacyjny koszt realizacji 1 metra bieżącego sieci kanalizacyjnej sanitarnej wynosi 990,- zł/</w:t>
      </w:r>
      <w:proofErr w:type="spellStart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mb</w:t>
      </w:r>
      <w:proofErr w:type="spellEnd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, kanalizacji deszczowej – 990,- zł/</w:t>
      </w:r>
      <w:proofErr w:type="spellStart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mb</w:t>
      </w:r>
      <w:proofErr w:type="spellEnd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 oraz 750,- zł/</w:t>
      </w:r>
      <w:proofErr w:type="spellStart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mb</w:t>
      </w:r>
      <w:proofErr w:type="spellEnd"/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 sieci wodociągowej. Otrzymujemy wówczas: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kanalizacja sanitarna – 406,0 m x 990,- zł = 401940,- zł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kanalizacja deszczowa – 4060 m x 990,- zł = 40940,- zł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wodociąg – 406,0 m x 750,- zł = 3045000,- zł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Koszt ten jest ponoszony przez inwestorów. Prawdopodobnie nie zajdzie konieczność realizacji sieci kanalizacji deszczowej. Wody opadowe i roztopowe powinny zostać zagospodarowane na obszarze planu. W przypadku pozostałych sieci uzbrojenia technicznego, jak: sieć gazociągowa, energetyczna czy telekomunikacyjna, realizacja ich jest uwarunkowana przede wszystkim opłacalnością ekonomiczną. Gmina nie ma obowiązku realizacji sieci gazowej i energetycznej. Uchwalenie miejscowego planu zagospodarowania przestrzennego w rejonie miejscowości Parkowo nie powinno przyczynić się do obniżenia wartości nieruchomości, nie zajdzie potrzeba wypłaty odszkodowań.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3. Wnioski i zalecenia dotyczące przyjęcia proponowanych rozwiązań projektu planu miejscowego, wynikające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z uwzględnienia ich skutków finansowych.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Na podstawie przytoczonych wyżej obliczeń można przyjąć, że uchwalenie przedmiotowego planu będzie miało korzystny wpływ dla budżetu gminy. Od nowych terenów inwestycyjnych wyznaczonych w planie – będzie pobierany podatek od gruntu i budowli - budynki mieszkalne i usługowe i będą to kwoty znacznie wyższe niż od obecnie pobieranego podatku rolnego. Po stronie gminy zajdzie konieczność poniesienia znacznych wydatków związanych z koniecznością realizacji sieci infrastruktury technicznej. W planie nie wyznacza się nowych odcinków dróg o charakterze publicznym. Pozostałe tereny utrzymuje się w dotychczasowym użytkowaniu, i nie zmienia się możliwości ich zagospodarowania.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 xml:space="preserve">Na podstawie art. 55 ust. 3 ustawy z dnia 3 października 2008 roku o udostępnianiu informacji o środowisku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i jego ochronie, udziale społeczeństwa w ochronie środowiska oraz o ocenach oddziaływania na środowisko przedstawia się pisemne posumowanie zawierające uzasadnienie wyboru przyjętego dokumentu w odniesieniu do rozpatrywanych rozwiązań alternatywnych.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W wyniku przeprowadzonych analiz zdecydowano się na przystąpienie do opracowania miejscowego planu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z przeznaczeniem głównie na realizację zabudowy mieszkaniowej jednorodzinnej i aktywizacji gospodarczej. Nieruchomości są położone w sąsiedztwie innych, już wydzielonych działek i mają zapewniony bezpośredni dostęp komunikacyjny. Takie przeznaczenie jest zgodnie z kierunkami zagospodarowania przestrzennego określonymi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w studium uwarunkowań i kierunków zagospodarowania przestrzennego gminy.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Informacja, w jaki sposób zostały wzięte pod uwagę i w jakim zakresie zostały uwzględnione: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1) ustalenia zawarte w prognozie oddziaływania na środowisko: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lastRenderedPageBreak/>
        <w:t xml:space="preserve">- w opracowanym projekcie miejscowego planu zagospodarowania przestrzennego uwzględniono wytyczne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z zakresu ochrony środowiska przyrodniczego zawarte w prognozie oddziaływania na środowisko,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a) zapisy odnośnie właściwego odprowadzania ścieków ze względu na zanieczyszczenie wód podziemnych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 powierzchniowych na terenie gminy: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-odprowadzanie ścieków komunalnych do oczyszczalni ścieków, poprzez istniejącą i projektowaną sieć kanalizacji sanitarnej; - do czasu wybudowania kanalizacji dopuszczenie odprowadzania ścieków do szczelnych zbiorników bezodpływowych;</w:t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ab/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wody opadowe i roztopowe należy odprowadzić na własny teren nieutwardzony, do dołów chłonnych lub do zbiorników retencyjnych zgodnie z przepisami odrębnymi,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b) na obszarze planu zachowano w całości istniejący ciek wodny wraz z przyległymi łąkami,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c) w § 8 wprowadzono ponadto obowiązek ochrony wód powierzchniowych i podziemnych przed zanieczyszczeniami, ze względu na wysoką podatność wód podziemnych na infiltrację zanieczyszczań,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d) w zakresie ochrony powietrza w planie zawarto następujące zapisy: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- nakazuje się stosowanie urządzeń grzewczych charakteryzujących się wysokim stopniem sprawności,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 niskim stopniem emisji zanieczyszczeń;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stosowanie przy pozyskaniu ciepła dla celów grzewczych paliw charakteryzujących się najniższymi wskaźnikami emisyjnymi – gazowych, ciekłych i stałych oraz wykorzystanie energii elektrycznej i odnawialnych źródeł energii;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2) opinie właściwych organów, o których mowa w art. 57 i 58: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projekt miejscowego planu zagospodarowania przestrzennego wraz z prognozą oddziaływania na środowisko został zaopiniowany przez Regionalnego Dyrektora Ochrony Środowiska w Poznaniu oraz Państwowego Powiatowego Inspektora Sanitarnego,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3) zgłoszone uwagi i wnioski: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do projektu planu miejscowego i prognozy na etapie zawiadomienia o przystąpieniu do sporządzania planu nie zostały złożone wnioski związane z udziałem społeczeństwa,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na etapie konsultacji społecznych projektu planu i prognozy do publicznego wglądu nie zostały złożone uwagi,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4) wyniki postępowania dotyczące transgranicznego oddziaływania na środowisko, jeżeli zostało przeprowadzone: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realizacja ustaleń planu nie będzie transgranicznie oddziaływała na środowisko,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5) propozycje dotyczące metod i częstotliwości przeprowadzania monitoringu skutków realizacji postanowień dokumentu: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ab/>
        <w:t>Przewidywane metody analizy skutków realizacji postanowień projektu planu miejscowego mogą obejmować: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- analizy i oceny stanu poszczególnych komponentów środowiska w oparciu o wyniki pomiarów uzyskanych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w ramach państwowego monitoringu środowiska lub w ramach indywidualnych zamówień, odnoszących się do obszaru objętego sporządzaniem zmiany planu miejscowego. Zakres i częstotliwość analiz i ocen powinny być dostosowane do konieczności dotrzymania standardów jakości środowiska; mogą one obejmować badania m.in.: poziomu hałasu czy jakości środowiska gruntowo-wodnego,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kontrole i oceny zgodności wyposażenia terenu w infrastrukturę techniczną z ustaleniami planu miejscowego,</w:t>
      </w:r>
    </w:p>
    <w:p w:rsidR="009E38AD" w:rsidRPr="00382367" w:rsidRDefault="00453FE8" w:rsidP="0038236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- inne metody, które zostaną ustalone na etapie przygotowania inwestycji.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 xml:space="preserve">Uzasadnienie zawierające informacje o udziale społeczeństwa w postępowaniu oraz o tym, w jaki sposób zostały wzięte pod uwagę i w jakim zakresie zostały uwzględnione uwagi i wnioski zgłoszone w związku z udziałem społeczeństwa, zgodnie z art. 42 ust. 2 ustawy z dnia 3 października 2008 roku o udostępnianiu informacji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</w:rPr>
        <w:t>o środowisku i jego ochronie, udziale społeczeństwa w ochronie środowiska oraz o ocenach oddziaływania na środowisko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Informuje się, że na etapie zawiadomienia o przystąpieniu do sporządzania miejscowego planu zagospodarowania przestrzennego i prognozy oddziaływania nie zostały złożone wnioski w związku z udziałem społeczeństwa.</w:t>
      </w:r>
    </w:p>
    <w:p w:rsidR="009E38AD" w:rsidRPr="00382367" w:rsidRDefault="00453FE8" w:rsidP="00382367">
      <w:pPr>
        <w:spacing w:line="276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</w:pP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 xml:space="preserve">Na etapie konsultacji społecznych projektu miejscowego planu zagospodarowania przestrzennego wraz </w:t>
      </w:r>
      <w:r w:rsid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br/>
      </w:r>
      <w:r w:rsidRPr="00382367">
        <w:rPr>
          <w:rFonts w:ascii="Times New Roman" w:eastAsia="Times New Roman" w:hAnsi="Times New Roman" w:cs="Times New Roman"/>
          <w:color w:val="000000"/>
          <w:sz w:val="21"/>
          <w:szCs w:val="21"/>
          <w:u w:color="000000"/>
        </w:rPr>
        <w:t>z prognozą oddziaływania na środowisko do projektu planu i prognozy nie zostały złożone uwagi.</w:t>
      </w:r>
    </w:p>
    <w:sectPr w:rsidR="009E38AD" w:rsidRPr="00382367">
      <w:footerReference w:type="default" r:id="rId1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62" w:rsidRDefault="00453FE8">
      <w:r>
        <w:separator/>
      </w:r>
    </w:p>
  </w:endnote>
  <w:endnote w:type="continuationSeparator" w:id="0">
    <w:p w:rsidR="00243F62" w:rsidRDefault="0045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E38A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rPr>
              <w:sz w:val="18"/>
            </w:rPr>
          </w:pPr>
          <w:r>
            <w:rPr>
              <w:sz w:val="18"/>
            </w:rPr>
            <w:t>Id: 058B75E9-E0FD-4D97-92F4-ED84881DE852.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E38AD" w:rsidRDefault="00453FE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0075C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9E38AD" w:rsidRDefault="009E38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62" w:rsidRDefault="00453FE8">
      <w:r>
        <w:separator/>
      </w:r>
    </w:p>
  </w:footnote>
  <w:footnote w:type="continuationSeparator" w:id="0">
    <w:p w:rsidR="00243F62" w:rsidRDefault="0045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243F62"/>
    <w:rsid w:val="00382367"/>
    <w:rsid w:val="0040075C"/>
    <w:rsid w:val="00453FE8"/>
    <w:rsid w:val="009B138E"/>
    <w:rsid w:val="009E38AD"/>
    <w:rsid w:val="00A77B3E"/>
    <w:rsid w:val="00CA2A55"/>
    <w:rsid w:val="00F5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38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2367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38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2367"/>
    <w:rPr>
      <w:rFonts w:ascii="Verdana" w:eastAsia="Verdana" w:hAnsi="Verdana" w:cs="Verdana"/>
      <w:sz w:val="24"/>
      <w:szCs w:val="24"/>
    </w:rPr>
  </w:style>
  <w:style w:type="paragraph" w:styleId="Tekstdymka">
    <w:name w:val="Balloon Text"/>
    <w:basedOn w:val="Normalny"/>
    <w:link w:val="TekstdymkaZnak"/>
    <w:rsid w:val="00382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2367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382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2367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rsid w:val="00382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2367"/>
    <w:rPr>
      <w:rFonts w:ascii="Verdana" w:eastAsia="Verdana" w:hAnsi="Verdana" w:cs="Verdana"/>
      <w:sz w:val="24"/>
      <w:szCs w:val="24"/>
    </w:rPr>
  </w:style>
  <w:style w:type="paragraph" w:styleId="Tekstdymka">
    <w:name w:val="Balloon Text"/>
    <w:basedOn w:val="Normalny"/>
    <w:link w:val="TekstdymkaZnak"/>
    <w:rsid w:val="00382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82367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Zalacznik3.pdf" TargetMode="Externa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Zalacznik5.pdf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Zalacznik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Zalacznik4.pdf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4466</Words>
  <Characters>29514</Characters>
  <Application>Microsoft Office Word</Application>
  <DocSecurity>0</DocSecurity>
  <Lines>245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13 lutego 2026 r.</vt:lpstr>
      <vt:lpstr/>
    </vt:vector>
  </TitlesOfParts>
  <Company>Rada Miejska w Rogoźnie</Company>
  <LinksUpToDate>false</LinksUpToDate>
  <CharactersWithSpaces>33913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13 lutego 2026 r.</dc:title>
  <dc:subject>w sprawie miejscowego planu zagospodarowania przestrzennego na obszarze położonym w obrębie Parkowo, gmina Rogoźno</dc:subject>
  <dc:creator>ojechorek</dc:creator>
  <cp:lastModifiedBy>Olimpia Jęchorek</cp:lastModifiedBy>
  <cp:revision>6</cp:revision>
  <cp:lastPrinted>2026-02-13T13:03:00Z</cp:lastPrinted>
  <dcterms:created xsi:type="dcterms:W3CDTF">2026-02-13T08:41:00Z</dcterms:created>
  <dcterms:modified xsi:type="dcterms:W3CDTF">2026-02-13T13:03:00Z</dcterms:modified>
  <cp:category>Akt prawny</cp:category>
</cp:coreProperties>
</file>