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4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przyjęcia planu pracy Komisji Skarg, Wniosków i Petycji na 2026 rok.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18b oraz art. 21 ust. 3 z dnia 8 marca 1990 r. o samorządzie gminnym (t.j. Dz. U. z 2025 poz. 1153) oraz § 3 ust. 1 Regulaminu Rady Miejskiej, stanowiącego załącznik nr 5 do statutu Gminy Rogoźno (DZ. U. 2019 roku, poz. 2094), Rada Miejska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Uchwala się plan pracy Komisji Skarg, Wniosków i Petycji na 2026 rok,  który stanowi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Komisji Skarg,  Wniosków i Petycji.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 w:rsidR="00A77B3E">
      <w:pPr>
        <w:keepNext w:val="0"/>
        <w:keepLines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 xml:space="preserve"> Nr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Verdana" w:eastAsia="Verdana" w:hAnsi="Verdana" w:cs="Verdana"/>
          <w:sz w:val="24"/>
        </w:rPr>
        <w:t>z dnia 30 grudnia 2025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Art. 21 ust. 3 ustawy o samorządzie gminnym (</w:t>
      </w:r>
      <w:r>
        <w:rPr>
          <w:rFonts w:eastAsia="Times New Roman" w:cs="Times New Roman"/>
          <w:szCs w:val="20"/>
        </w:rPr>
        <w:t>t.j</w:t>
      </w:r>
      <w:r>
        <w:rPr>
          <w:rFonts w:eastAsia="Times New Roman" w:cs="Times New Roman"/>
          <w:szCs w:val="20"/>
        </w:rPr>
        <w:t>. Dz. U. z 202</w:t>
      </w:r>
      <w:r>
        <w:rPr>
          <w:rFonts w:eastAsia="Times New Roman" w:cs="Times New Roman"/>
          <w:szCs w:val="20"/>
        </w:rPr>
        <w:t>5</w:t>
      </w:r>
      <w:r>
        <w:rPr>
          <w:rFonts w:eastAsia="Times New Roman" w:cs="Times New Roman"/>
          <w:szCs w:val="20"/>
        </w:rPr>
        <w:t xml:space="preserve"> poz. 1</w:t>
      </w:r>
      <w:r>
        <w:rPr>
          <w:rFonts w:eastAsia="Times New Roman" w:cs="Times New Roman"/>
          <w:szCs w:val="20"/>
        </w:rPr>
        <w:t>153</w:t>
      </w:r>
      <w:r>
        <w:rPr>
          <w:rFonts w:eastAsia="Times New Roman" w:cs="Times New Roman"/>
          <w:szCs w:val="20"/>
        </w:rPr>
        <w:t>) zobowiązuje Komisje stałe w tym również Komisję Skarg, Wniosków i Petycji do corocznego przedkładania Radzie Gminy planów pracy.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świetle powyższego zasadne jest podjęcie niniejszej uchwały.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4042DC9C-FEF1-4F9C-A02B-C3B5CB48FEC6.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4042DC9C-FEF1-4F9C-A02B-C3B5CB48FEC6.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4042DC9C-FEF1-4F9C-A02B-C3B5CB48FEC6.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2025 r.</dc:title>
  <dc:subject>w sprawie przyjęcia planu pracy Komisji Skarg, Wniosków i Petycji na 2026 rok.</dc:subject>
  <dc:creator>amazur</dc:creator>
  <cp:lastModifiedBy>amazur</cp:lastModifiedBy>
  <cp:revision>1</cp:revision>
  <dcterms:created xsi:type="dcterms:W3CDTF">2025-12-04T11:18:01Z</dcterms:created>
  <dcterms:modified xsi:type="dcterms:W3CDTF">2025-12-04T11:18:01Z</dcterms:modified>
  <cp:category>Akt prawny</cp:category>
</cp:coreProperties>
</file>