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przyjęcia planu pracy Komisji Rewizyjnej na 2026 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18a ust. 4 i 5 ustawy oraz art. 21 ust. 3 z dnia 8 marca 1990 r. o samorządzie gminnym (t.j. Dz. U. z 2025 rok poz. 1153) oraz § 6 ust. 2 Regulaminu Komisji Rewizyjnej, stanowiącego załącznik nr 7 do statutu Gminy Rogoźno (DZ. U. 2019 roku, poz. 2094), Rada Miejska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Uchwala się plan pracy Komisji Rewizyjnej na 2026 rok, który stanowi 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Komisji Rewizyjnej.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 w:rsidR="00A77B3E">
      <w:pPr>
        <w:keepNext w:val="0"/>
        <w:keepLines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Verdana" w:eastAsia="Verdana" w:hAnsi="Verdana" w:cs="Verdana"/>
          <w:sz w:val="24"/>
        </w:rPr>
        <w:t>z dnia 30 grudnia 2025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Art. 21 ust. 3 ustawy o samorządzie gminnym zobowiązuje Komisje stałe w tym również Komisję Rewizyjną do corocznego przedkładania Radzie Gminy planów pracy. </w:t>
      </w:r>
      <w:r>
        <w:rPr>
          <w:rFonts w:eastAsia="Times New Roman" w:cs="Times New Roman"/>
          <w:szCs w:val="20"/>
        </w:rPr>
        <w:t>Regulamin Komisji Rewizyjnej w art. 6 pkt 2</w:t>
      </w:r>
      <w:r>
        <w:rPr>
          <w:rFonts w:eastAsia="Times New Roman" w:cs="Times New Roman"/>
          <w:szCs w:val="20"/>
        </w:rPr>
        <w:t xml:space="preserve"> mówi, że podstawą działalności kontrolnej Komisji Rewizyjnej jest jej roczny plan pracy przyjęty przez radę.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świetle powyższego zasadne jest podjęcie niniejszej uchwały.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1F5A4976-8829-476E-97EB-B0FDA44A76BC.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1F5A4976-8829-476E-97EB-B0FDA44A76BC.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1F5A4976-8829-476E-97EB-B0FDA44A76BC.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przyjęcia planu pracy Komisji Rewizyjnej na 2026 rok</dc:subject>
  <dc:creator>amazur</dc:creator>
  <cp:lastModifiedBy>amazur</cp:lastModifiedBy>
  <cp:revision>1</cp:revision>
  <dcterms:created xsi:type="dcterms:W3CDTF">2025-12-04T11:17:16Z</dcterms:created>
  <dcterms:modified xsi:type="dcterms:W3CDTF">2025-12-04T11:17:16Z</dcterms:modified>
  <cp:category>Akt prawny</cp:category>
</cp:coreProperties>
</file>