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9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.................... 2025 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organizacji publicznego transportu zbiorowego na terenie Gminy Rogoźno w 2026 roku.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7 ust. 1 pkt 4 ustawy z dnia 8 marca 1990 r. o samorządzie gminnym (t.j. Dz.U. 2025 r. poz. 1153 z późn. zm.), art. 7 ust. 1 pkt 1 lit. a oraz art. 8 pkt 2 ustawy z dnia 16 grudnia 2010 r. o publicznym transporcie zbiorowym (t.j. Dz.U. 2025 r. poz. 285 z późn. zm.) oraz art.11d ust.1 i art. 22 ust. 1 i 2 ustawy z dnia 16 maja 2019 r. o Funduszu rozwoju przewozów autobusowych o charakterze użyteczności publicznej (t.j. Dz.U. 2024 r. poz. 402) Rada Miejska w Rogoźnie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Dla zaspokojenia potrzeb mieszkańców gminy postanawia się organizować gminne autobusowe przewozy pasażerskie jako organizator przewozów o charakterze użyteczności publicznej.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Określa się gminną autobusową sieć komunikacyjną, na której planowane jest wykonywanie przewozów o charakterze użyteczności publicznej w okresie od 1 stycznia 2026 r. do 31 grudnia 2026 r. Wykaz linii komunikacyjnych, na których będą realizowane przewozy, określa załącznik nr 1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Warunkiem uruchomienia linii komunikacyjnej określonej w załączniku do uchwały jest pozytywne rozpatrzenie przez Wojewodę Wielkopolskiego wniosku o objęcie dopłatą w 2026 roku realizacji zadań własnych organizatora w zakresie przewozów autobusowych o charakterze użyteczności publicznej przez dopłatę do ceny usługi z Funduszu rozwoju przewozów autobusowych o charakterze użyteczności publicznej.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7 ust. 4 pkt 1 ustawy z dnia 16 grudnia 2010 roku o publicznym transporcie zbiorowym, upoważnia się Burmistrza Rogoźna do zawarcia umowy o świadczenie usług w zakresie publicznego transportu zbiorowego na zasadach określonych w art. 22 ust. 1 w/w ustawy oraz do zawarcia umowy o dopłatę, o której mowa w art. 11d ust.1 ustawy z dnia 16 maja 2019 roku o Funduszu rozwoju przewozów autobusowych o  charakterze użyteczności publicznej.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6.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</w:p>
    <w:p w:rsidR="00A77B3E">
      <w:pPr>
        <w:keepNext/>
        <w:spacing w:before="120" w:after="120" w:line="276" w:lineRule="auto"/>
        <w:ind w:left="4716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fldChar w:fldCharType="end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Załącznik do uchwały nr ....................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Rady Miejskiej w Rogoźnie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  <w:t>z dnia....................2025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auto"/>
          <w:sz w:val="22"/>
          <w:u w:val="none"/>
        </w:rPr>
        <w:t>Ewidencja  linii komunikacyjnych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ab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Linia „1” Rogoźno – Cieśle - Pruśce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7 ustawy o publicznym transporcie zbiorowym organizatorem publicznego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transportu zbiorowego ze względu na obszar działania lub zasięg przewozów w gminnych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przewozach pasażerskich jest gmina. W imieniu gminy zadania organizatora wykonuje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Burmistrz.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Mając na uwadze brak możliwości dojazdu środkami komunikacji publicznej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z niektórych miejscowości naszej gminy, zdecydowano o uruchomieniu przewozów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autobusowych na proponowanej w załączniku linii. Na podstawie ustawy o </w:t>
      </w:r>
      <w:r>
        <w:rPr>
          <w:rFonts w:eastAsia="Times New Roman" w:cs="Times New Roman"/>
          <w:szCs w:val="20"/>
        </w:rPr>
        <w:t>F</w:t>
      </w:r>
      <w:r>
        <w:rPr>
          <w:rFonts w:eastAsia="Times New Roman" w:cs="Times New Roman"/>
          <w:szCs w:val="20"/>
        </w:rPr>
        <w:t>unduszu rozwoju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przewozów autobusowych o charakterze użyteczności publicznej istnieje możliwość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ubiegania się o dopłatę do nowo uruchamianych kursów w wysokości nie wyższej niż 3 zł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do 1 wozokilometra przewozu. Warunkiem uzyskania dopłaty jest sfinansowanie ze środków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własnych organizatora części ceny usługi w wysokości nie mniejszej niż 10% oraz zawarcie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umowy o świadczenie usług w zakresie publicznego transportu zbiorowego.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W związku z powyższym podjęcie w/w uchwały jest uzasadnione.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AF58DFC9-B33E-4298-8ABC-73334FC708A3.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AF58DFC9-B33E-4298-8ABC-73334FC708A3.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AF58DFC9-B33E-4298-8ABC-73334FC708A3.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organizacji publicznego transportu zbiorowego na terenie Gminy Rogoźno w 2026 roku.</dc:subject>
  <dc:creator>alis</dc:creator>
  <cp:lastModifiedBy>alis</cp:lastModifiedBy>
  <cp:revision>1</cp:revision>
  <dcterms:created xsi:type="dcterms:W3CDTF">2025-12-09T14:26:04Z</dcterms:created>
  <dcterms:modified xsi:type="dcterms:W3CDTF">2025-12-09T14:26:04Z</dcterms:modified>
  <cp:category>Akt prawny</cp:category>
</cp:coreProperties>
</file>