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działek nr: 2000/68-2000/70 i 2000/72-2000/74, położonych w obrębie ROGOŹNO, w trybie 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9 lit. a ustawy z dnia 8 marca 1990 r. o samorządzie gminnym (t.j. Dz.U. 2024 r. poz. 1465 z późn. zm.), art. 13 ust. 1 ustawy z dnia 21 sierpnia 1997 r. o gospodarce nieruchomościami (t.j. Dz.U. 2024 r. poz. 1145 z późn. zm.), w związku z §4 pkt 7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Urzęd. Woj. Wlkp., poz.3114 z późn. zm.) Rada Miejska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 trybie przetargowym działek gruntu, położonych w obrębie ROGOŹNO (ul. Szeroka, m. Rogoźno), objętych księgą wieczystą KW PO1O/00026122/2, dla których nw. działek zawnioskowano o założenie nowej księgi wieczystej DZ.KW./PO1O/5282/25/1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02.07.2025 r., oznaczonych ewidencyjnie: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34"/>
        <w:gridCol w:w="3672"/>
        <w:gridCol w:w="5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nr działki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powierzchnia [ha]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2000/68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0,1151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2000/69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0,1201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2000/70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0,1161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2000/72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0,1072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2000/73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0,1067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2000/74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0,1083</w:t>
            </w:r>
          </w:p>
        </w:tc>
      </w:tr>
    </w:tbl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Rada Miejska w § 4 pkt 7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do swojej kompetencji sprawy dotyczące sprzedaży nieruchomości, której wartość szacunkowa określona przez rzeczoznawcę majątkowego przekracza kwotę wynoszącą 10 000,00zł. Przeznaczon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stanowi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własność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W oparciu o ustalenia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miejscowego planu zagospodarowania przestrzennego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obszarze części Gminy Rogoźno -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Rogoźno Południe"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uchwalonego Uchwałą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XC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966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Rady Miejskiej w Rogoźnie z dnia 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grudnia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(Dz. Urzęd. Woj. Wlkp.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25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01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r., poz.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1142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)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gruntu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: 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0"/>
        <w:contextualSpacing w:val="0"/>
        <w:rPr>
          <w:rFonts w:ascii="Arial" w:hAnsi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a) 2000/68, 2000/69 i 2000/70 (obręb Rogoźno)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objęt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są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8MN-U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 lub usług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0"/>
        <w:contextualSpacing w:val="0"/>
        <w:rPr>
          <w:rFonts w:ascii="Arial" w:hAnsi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b)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2000/72, 2000/73 i 2000/74 (obręb Rogoźno)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są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9MN-U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 lub usług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Wartość przewidzian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ych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ek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przewyższa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kwot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10 000,00zł, w nawiązaniu do 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A801E7CF-4802-4C81-AD6F-D4B89A662A70.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A801E7CF-4802-4C81-AD6F-D4B89A662A70.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działek nr: 2000/68-2000/70 i 2000/72-2000/74, położonych w^obrębie ROGOŹNO, w^trybie przetargowym</dc:subject>
  <dc:creator>molederek</dc:creator>
  <cp:lastModifiedBy>molederek</cp:lastModifiedBy>
  <cp:revision>1</cp:revision>
  <dcterms:created xsi:type="dcterms:W3CDTF">2025-07-16T14:57:30Z</dcterms:created>
  <dcterms:modified xsi:type="dcterms:W3CDTF">2025-07-16T14:57:30Z</dcterms:modified>
  <cp:category>Akt prawny</cp:category>
</cp:coreProperties>
</file>