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29 lipca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.................... 2025 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petycji z dnia 23 czerwca 2025 roku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15 i art 18b ust. 1 ustawy z dnia 8 marca 1990 r. o samorządzie gminnym (t.j. Dz.U. z 2024 r. poz. 1465 z późn. zm.) oraz art. 9 ust. 2 i art. 13 ust. 1 ustawy z dnia 11 lipca 2014 r. o petycjach (t.j. Dz.U. 2018 r. poz. 870), Rada Miejska 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zapoznaniu się z petycją z dnia 23 czerwca 2025 roku (data wpływu do Urzędu Miejskiego w Rogoźnie: 25 czerwca 2025 roku) w sprawie sprzeciwu wobec skargi skierowanej na Dyrektor Szkoły Podstawowej nr 2 w Rogoźnie, Rada Miejska w Rogoźnie postanawia uznać petycję za bezprzedmiotową.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Uzasadnienie stanowi załącznik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Zobowiązuje się Przewodniczącego Rady Miejskiej w Rogoźnie do poinformowania wnoszących petycję o sposobie jej załatwienia.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dniu </w:t>
      </w:r>
      <w:r>
        <w:rPr>
          <w:rFonts w:eastAsia="Times New Roman" w:cs="Times New Roman"/>
          <w:szCs w:val="20"/>
        </w:rPr>
        <w:t>26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czerwca</w:t>
      </w:r>
      <w:r>
        <w:rPr>
          <w:rFonts w:eastAsia="Times New Roman" w:cs="Times New Roman"/>
          <w:szCs w:val="20"/>
        </w:rPr>
        <w:t xml:space="preserve"> 2025 roku do </w:t>
      </w:r>
      <w:r>
        <w:rPr>
          <w:rFonts w:eastAsia="Times New Roman" w:cs="Times New Roman"/>
          <w:szCs w:val="20"/>
        </w:rPr>
        <w:t>Rady Miejskiej</w:t>
      </w:r>
      <w:r>
        <w:rPr>
          <w:rFonts w:eastAsia="Times New Roman" w:cs="Times New Roman"/>
          <w:szCs w:val="20"/>
        </w:rPr>
        <w:t xml:space="preserve"> w Rogoźnie wpłynęła petycja </w:t>
      </w:r>
      <w:r>
        <w:rPr>
          <w:rFonts w:eastAsia="Times New Roman" w:cs="Times New Roman"/>
          <w:szCs w:val="20"/>
        </w:rPr>
        <w:t>(data petycji: 23 czerwca</w:t>
      </w:r>
      <w:r>
        <w:rPr>
          <w:rFonts w:eastAsia="Times New Roman" w:cs="Times New Roman"/>
          <w:szCs w:val="20"/>
        </w:rPr>
        <w:t xml:space="preserve"> 2025 roku</w:t>
      </w:r>
      <w:r>
        <w:rPr>
          <w:rFonts w:eastAsia="Times New Roman" w:cs="Times New Roman"/>
          <w:szCs w:val="20"/>
        </w:rPr>
        <w:t>),</w:t>
      </w:r>
      <w:r>
        <w:rPr>
          <w:rFonts w:eastAsia="Times New Roman" w:cs="Times New Roman"/>
          <w:szCs w:val="20"/>
        </w:rPr>
        <w:t xml:space="preserve"> w sprawie </w:t>
      </w:r>
      <w:r>
        <w:rPr>
          <w:rFonts w:eastAsia="Times New Roman" w:cs="Times New Roman"/>
          <w:szCs w:val="20"/>
        </w:rPr>
        <w:t>sprzeciwu wobec skargi skierowanej na Dyrektor Szkoły Podstawowej nr 2 w Rogoźnie</w:t>
      </w:r>
      <w:r>
        <w:rPr>
          <w:rFonts w:eastAsia="Times New Roman" w:cs="Times New Roman"/>
          <w:szCs w:val="20"/>
        </w:rPr>
        <w:t>. Petycja została skierowana do Rady Miejskiej w Rogoźnie</w:t>
      </w:r>
      <w:r>
        <w:rPr>
          <w:rFonts w:eastAsia="Times New Roman" w:cs="Times New Roman"/>
          <w:szCs w:val="20"/>
        </w:rPr>
        <w:t xml:space="preserve"> oraz do Burmistrza Rogoźna</w:t>
      </w:r>
      <w:r>
        <w:rPr>
          <w:rFonts w:eastAsia="Times New Roman" w:cs="Times New Roman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Składający petycję wyrazili sprzeciw wobec skargi skierowanej na Panią Dyrektor Szkoły Podstawowej nr 2 w Rogoźnie.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Wnoszący petycję zażądali wycofania skargi i zakończenia postępowania w tej sprawie oraz publicznego wsparcia dla Szkoły Podstawowej nr 2 w Rogoźnie i jej dyrekcji.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 tym, że s</w:t>
      </w:r>
      <w:r>
        <w:rPr>
          <w:rFonts w:eastAsia="Times New Roman" w:cs="Times New Roman"/>
          <w:szCs w:val="20"/>
        </w:rPr>
        <w:t>karga dotyczy</w:t>
      </w:r>
      <w:r>
        <w:rPr>
          <w:rFonts w:eastAsia="Times New Roman" w:cs="Times New Roman"/>
          <w:szCs w:val="20"/>
        </w:rPr>
        <w:t>ła</w:t>
      </w:r>
      <w:r>
        <w:rPr>
          <w:rFonts w:eastAsia="Times New Roman" w:cs="Times New Roman"/>
          <w:szCs w:val="20"/>
        </w:rPr>
        <w:t xml:space="preserve"> działalności Dyrektora Szkoły Podstawowej nr 2 im. Olimpijczyków Polskich w Rogoźnie, a zgodnie z art. 229 pkt 3 i art. 231 Kodeksu postępowania administracyjnego skargi na kierowników gminnych jednostek organizacyjnych rozpatruje rada gminy</w:t>
      </w:r>
      <w:r>
        <w:rPr>
          <w:rFonts w:eastAsia="Times New Roman" w:cs="Times New Roman"/>
          <w:szCs w:val="20"/>
        </w:rPr>
        <w:t>, to Rada Miejska w Rogoźnie jest również organem właściwym do rozpatrzenia petycji w sprawie wyżej wymienionej skargi.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z art. 18b ust.1 ustawy </w:t>
      </w:r>
      <w:r>
        <w:rPr>
          <w:rFonts w:eastAsia="Times New Roman" w:cs="Times New Roman"/>
          <w:szCs w:val="20"/>
        </w:rPr>
        <w:t xml:space="preserve">z dnia 8 marca 1990 r. </w:t>
      </w:r>
      <w:r>
        <w:rPr>
          <w:rFonts w:eastAsia="Times New Roman" w:cs="Times New Roman"/>
          <w:szCs w:val="20"/>
        </w:rPr>
        <w:t>o samorządzie gminny</w:t>
      </w:r>
      <w:r>
        <w:rPr>
          <w:rFonts w:eastAsia="Times New Roman" w:cs="Times New Roman"/>
          <w:szCs w:val="20"/>
        </w:rPr>
        <w:t xml:space="preserve">m </w:t>
      </w:r>
      <w:r>
        <w:rPr>
          <w:rFonts w:eastAsia="Times New Roman" w:cs="Times New Roman"/>
          <w:szCs w:val="20"/>
        </w:rPr>
        <w:t>(t.j. Dz.U. z 2024 r. poz. 1465 z późn. zm.)</w:t>
      </w:r>
      <w:r>
        <w:rPr>
          <w:rFonts w:eastAsia="Times New Roman" w:cs="Times New Roman"/>
          <w:szCs w:val="20"/>
        </w:rPr>
        <w:t xml:space="preserve"> petycję przekazano do Komisji Skarg, Wniosków i Petycji Rady Miejskiej w Rogoźnie, zwanej dalej Komisją.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Na posiedzeniu w dniu </w:t>
      </w:r>
      <w:r>
        <w:rPr>
          <w:rFonts w:eastAsia="Times New Roman" w:cs="Times New Roman"/>
          <w:szCs w:val="20"/>
        </w:rPr>
        <w:t>3 lipca</w:t>
      </w:r>
      <w:r>
        <w:rPr>
          <w:rFonts w:eastAsia="Times New Roman" w:cs="Times New Roman"/>
          <w:szCs w:val="20"/>
        </w:rPr>
        <w:t xml:space="preserve"> 2025 roku Komisja przeanalizowała treść petycji</w:t>
      </w:r>
      <w:r>
        <w:rPr>
          <w:rFonts w:eastAsia="Times New Roman" w:cs="Times New Roman"/>
          <w:szCs w:val="20"/>
        </w:rPr>
        <w:t xml:space="preserve"> i uznała, że petycja zawiera żądanie odnoszące się do skargi, którą Rada Miejska w Rogoźnie rozstrzygnęła w dniu 18 czerwca 2025 r (Uchwała Nr XXI/226/2025 Rady Miejskiej w Rogoźnie)</w:t>
      </w:r>
      <w:r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 uwagi na powyższe, petycję w sprawie skargi złożoną po rozstrzygnięciu skargi, należy uznać za bezprzedmiotową.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Rozpatrując przedmiotową sprawę, Rada Miejska w Rogoźnie uznała stanowisko Komisji Skarg, Wniosków i Petycji za słuszne i przyjęła je za własne, a w konsekwencji uznała petycję za </w:t>
      </w:r>
      <w:r>
        <w:rPr>
          <w:rFonts w:eastAsia="Times New Roman" w:cs="Times New Roman"/>
          <w:szCs w:val="20"/>
        </w:rPr>
        <w:t>bezprzedmiotową</w:t>
      </w:r>
      <w:r>
        <w:rPr>
          <w:rFonts w:eastAsia="Times New Roman" w:cs="Times New Roman"/>
          <w:szCs w:val="20"/>
        </w:rPr>
        <w:t>. W związku z tym, że organ stanowiąc</w:t>
      </w:r>
      <w:r>
        <w:rPr>
          <w:rFonts w:eastAsia="Times New Roman" w:cs="Times New Roman"/>
          <w:szCs w:val="20"/>
        </w:rPr>
        <w:t>y</w:t>
      </w:r>
      <w:r>
        <w:rPr>
          <w:rFonts w:eastAsia="Times New Roman" w:cs="Times New Roman"/>
          <w:szCs w:val="20"/>
        </w:rPr>
        <w:t xml:space="preserve"> jednostki samorządu terytorialnego </w:t>
      </w:r>
      <w:r>
        <w:rPr>
          <w:rFonts w:eastAsia="Times New Roman" w:cs="Times New Roman"/>
          <w:szCs w:val="20"/>
        </w:rPr>
        <w:t>jest organem kolegialnym</w:t>
      </w:r>
      <w:r>
        <w:rPr>
          <w:rFonts w:eastAsia="Times New Roman" w:cs="Times New Roman"/>
          <w:szCs w:val="20"/>
        </w:rPr>
        <w:t>, jedyną formą prawną, w której rada gminy może wypowiedzieć się w przedmiotowej sprawie, jest uchwała. Biorąc pod uwagę powyższe, podjęcie uchwały w sprawie rozpatrzenia petycji</w:t>
      </w:r>
      <w:r>
        <w:rPr>
          <w:rFonts w:eastAsia="Times New Roman" w:cs="Times New Roman"/>
          <w:szCs w:val="20"/>
        </w:rPr>
        <w:t xml:space="preserve"> uznaje się za zasadne</w:t>
      </w:r>
      <w:r>
        <w:rPr>
          <w:rFonts w:eastAsia="Times New Roman" w:cs="Times New Roman"/>
          <w:szCs w:val="20"/>
        </w:rPr>
        <w:t>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7EC1F51E-319D-47FD-B333-54421B5EED3D.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7EC1F51E-319D-47FD-B333-54421B5EED3D.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petycji z dnia 23 czerwca 2025 roku</dc:subject>
  <dc:creator>amazur</dc:creator>
  <cp:lastModifiedBy>amazur</cp:lastModifiedBy>
  <cp:revision>1</cp:revision>
  <dcterms:created xsi:type="dcterms:W3CDTF">2025-07-29T11:57:01Z</dcterms:created>
  <dcterms:modified xsi:type="dcterms:W3CDTF">2025-07-29T11:57:01Z</dcterms:modified>
  <cp:category>Akt prawny</cp:category>
</cp:coreProperties>
</file>