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10 czerwca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dzierżawy działki nr 483/4 położonej w Rogoźnie w trybie bezprzetargowym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Na podstawie  art. 18 ust. 2 pkt 9 lit. a ustawy z dnia 8 marca 1990 r. o samorządzie gminnym (t.j. Dz.U.  z 2024 r. poz. 1465 z późn. zm.) oraz art. 37 ust. 4 ustawy z dnia 21 sierpnia 1997 r. o gospodarce nieruchomościami (t.j. Dz.U. z 2024 r. poz. 1145 z późn. zm.) w związku z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§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 pkt 2 Uchwały Nr XXV/235/2016 Rady Miejskiej w Rogoźnie z dnia 27 kwietnia 2016 r. (Dz. Urzęd. Woj. Wlkp., 2016 poz. 3114 z późn. zm.) w sprawie zasad gospodarowania nieruchomościami Gminy Rogoźno,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Miejska w Rogoźnie uchwala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Wyraża się zgodę na wydzierżawienie w trybie bezprzetargowym działki nr 483/4 o pow. 78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KW PO1O/00024671/1 położonej w miejscowości Rogoźno na okres 3 lat.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art. 18 ust. 2 pkt 9 lit. a ustawy z dnia 8 marca 1990 roku o samorządzie gminnym</w:t>
      </w:r>
      <w:r>
        <w:rPr>
          <w:color w:val="000000"/>
          <w:szCs w:val="20"/>
          <w:shd w:val="clear" w:color="auto" w:fill="FFFFFF"/>
        </w:rPr>
        <w:t xml:space="preserve"> </w:t>
        <w:br/>
        <w:t>( t</w:t>
      </w:r>
      <w:r>
        <w:rPr>
          <w:color w:val="000000"/>
          <w:szCs w:val="20"/>
          <w:shd w:val="clear" w:color="auto" w:fill="FFFFFF"/>
          <w:lang w:val="x-none" w:eastAsia="en-US" w:bidi="ar-SA"/>
        </w:rPr>
        <w:t>.j Dz. U. z 2024</w:t>
      </w:r>
      <w:r>
        <w:rPr>
          <w:color w:val="000000"/>
          <w:szCs w:val="20"/>
          <w:shd w:val="clear" w:color="auto" w:fill="FFFFFF"/>
        </w:rPr>
        <w:t xml:space="preserve"> r.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poz. 1465 z późn. zm.) oraz art 37 ust. 4 ustawy z dnia 21 sierpnia 1997 r.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o gospodarce nieruchomościami (t.j Dz. U.</w:t>
      </w:r>
      <w:r>
        <w:rPr>
          <w:color w:val="000000"/>
          <w:szCs w:val="20"/>
          <w:shd w:val="clear" w:color="auto" w:fill="FFFFFF"/>
        </w:rPr>
        <w:t xml:space="preserve"> z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2024</w:t>
      </w:r>
      <w:r>
        <w:rPr>
          <w:color w:val="000000"/>
          <w:szCs w:val="20"/>
          <w:shd w:val="clear" w:color="auto" w:fill="FFFFFF"/>
        </w:rPr>
        <w:t xml:space="preserve"> r.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poz. 1145 z późn. zm.) ustawodawca nałożył obowiązek podjęcia uchwały Rady Miejskiej w przypadku, gdy po umowie dzierżawy zawartej na czas oznaczony do lat 3, strona zawiera kolejną umowę, których przedmiotem jest ta sama nieruchomość. Dotychczasowy dzierżawca złożył wniosek o ponowne wydzierżawienie przedmiotowego gruntu </w:t>
      </w:r>
      <w:r>
        <w:rPr>
          <w:color w:val="000000"/>
          <w:szCs w:val="20"/>
          <w:shd w:val="clear" w:color="auto" w:fill="FFFFFF"/>
        </w:rPr>
        <w:t xml:space="preserve">z przeznaczeniem na </w:t>
      </w:r>
      <w:r>
        <w:rPr>
          <w:color w:val="000000"/>
          <w:szCs w:val="20"/>
          <w:shd w:val="clear" w:color="auto" w:fill="FFFFFF"/>
        </w:rPr>
        <w:t>ogród przydomowy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227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ab/>
        <w:t>W nawiązaniu do powyższego podjęcie przez Radę Miejską niniejszej uchwały jest w pełni uzasadnione.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79B355CD-6BCD-4F1F-86E3-8EAA6C836067.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79B355CD-6BCD-4F1F-86E3-8EAA6C836067.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dzierżawy działki nr 483/4 położonej w Rogoźnie w trybie bezprzetargowym</dc:subject>
  <dc:creator>iostrowska</dc:creator>
  <cp:lastModifiedBy>iostrowska</cp:lastModifiedBy>
  <cp:revision>1</cp:revision>
  <dcterms:created xsi:type="dcterms:W3CDTF">2025-06-10T08:13:21Z</dcterms:created>
  <dcterms:modified xsi:type="dcterms:W3CDTF">2025-06-10T08:13:21Z</dcterms:modified>
  <cp:category>Akt prawny</cp:category>
</cp:coreProperties>
</file>