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  <w:r>
        <w:rPr>
          <w:rFonts w:ascii="Verdana" w:eastAsia="Verdana" w:hAnsi="Verdana" w:cs="Verdana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 dnia  30 kwietnia 2025 r.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/>
          <w:i w:val="0"/>
          <w:caps/>
          <w:sz w:val="24"/>
          <w:u w:val="none"/>
        </w:rPr>
        <w:t>Uchwała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 xml:space="preserve"> Nr 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....................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br/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Rady Miejskiej w Rogoźnie</w:t>
      </w:r>
    </w:p>
    <w:p w:rsidR="00A77B3E">
      <w:pPr>
        <w:spacing w:before="280" w:after="28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 w:val="0"/>
          <w:caps w:val="0"/>
          <w:sz w:val="24"/>
        </w:rPr>
        <w:t>z dnia 28 maja 2025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t>w sprawie przekazania petycji według właściwości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Na podstawie art. 18 ust. 2 pkt 15 oraz art. 18b ust. 1 ustawy z dnia 8 marca 1990 r., o samorządzie gminnym (t.j. Dz. U. z 2024 r. poz. 1465 ze zm.) oraz art. 6 ust. 1 ustawy z dnia 11 lipca 2014 r., o petycjach (t.j. Dz. U. z 2018 r. poz. 870), uchwala się,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1. </w:t>
      </w:r>
      <w:r>
        <w:rPr>
          <w:rFonts w:ascii="Verdana" w:eastAsia="Verdana" w:hAnsi="Verdana" w:cs="Verdana"/>
          <w:sz w:val="24"/>
        </w:rPr>
        <w:t>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 zapoznaniu się z treścią petycji złożonej przez Ogólnopolskie Zrzeszenie Sędziów AEQUITAS z siedzibą w Łodzi przedmiotem, której jest obrona konstytucyjnej zasady niezawisłości i niezależności sędziów polskich, Rada Miejska w Rogoźnie uznaje się za niewłaściwą do jej rozpatrzenia z przyczyn określonych w uzasadnieniu, stanowiącym załącznik do uchwały.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Petycję, o której mowa w ust. 1 przekazuje się Ministrowi Sprawiedliwości jako organowi właściwemu do jej rozpatrzenia.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Przewodniczącemu Rady Miejskiej w Rogoźnie.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Verdana" w:eastAsia="Verdana" w:hAnsi="Verdana" w:cs="Verdana"/>
          <w:b/>
          <w:sz w:val="24"/>
        </w:rPr>
        <w:t>§ 3.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Do Rady Miejskiej w Rogoźnie w dniu 26 marca 2025 r. wpłynęła petycja, której autorem jest Ogólnopolskie Zrzeszenie Sędziów „AEQUITAS" z siedzibą w Łodzi. Z treści petycji wynika, iż jej przedmiotem jest obrona konstytucyjnej zasady niezawisłości i niezależności sędziów polskich. Autor petycji zwrócił się do Rady Miejskiej o podjęcie uchwały wyrażającej protest wobec projektów ustaw zakładających usunięcie i zdegradowanie ustawą sędziów sądów powszechnych w Polsce, powołanych przez Prezydenta Rzeczypospolitej Polskiej. Po przeprowadzeniu analizy treści petycji, stwierdzono, iż spełnia ona wymogi formalne określone w art. 4 ustawy z dnia 11 lipca 2014 roku o petycjach, wobec czego została ona przekazana do zaopiniowania przez Komisję Skarg, Wniosków i Petycji. Stosownie do zapisów art. 9 ust. 2 ustawy o petycjach</w:t>
      </w:r>
      <w:r>
        <w:rPr>
          <w:rFonts w:eastAsia="Times New Roman" w:cs="Times New Roman"/>
          <w:szCs w:val="20"/>
        </w:rPr>
        <w:t>,</w:t>
      </w:r>
      <w:r>
        <w:rPr>
          <w:rFonts w:eastAsia="Times New Roman" w:cs="Times New Roman"/>
          <w:szCs w:val="20"/>
        </w:rPr>
        <w:t xml:space="preserve"> petycja złożona do organu stanowiącego jednostki samorządu terytorialnego jest rozpatrywana przez ten organ. Natomiast o właściwości organu przesądza związek treści żądania petycji z zakresem zadań lub kompetencji danego organu. Na podstawie art. 6 ustawy o petycjach</w:t>
      </w:r>
      <w:r>
        <w:rPr>
          <w:rFonts w:eastAsia="Times New Roman" w:cs="Times New Roman"/>
          <w:szCs w:val="20"/>
        </w:rPr>
        <w:t>,</w:t>
      </w:r>
      <w:r>
        <w:rPr>
          <w:rFonts w:eastAsia="Times New Roman" w:cs="Times New Roman"/>
          <w:szCs w:val="20"/>
        </w:rPr>
        <w:t xml:space="preserve"> adresat petycji, który jest niewłaściwy do jej rozpatrzenia, przesyła ją niezwłocznie, nie później jednak niż w terminie 30 dni od dnia jej złożenia, do podmiotu właściwego do rozpatrzenia petycji, zawiadamiając o tym równocześnie podmiot wnoszący petycję. Wniesienie petycji nakłada zatem na adresata obowiązek zbadania swojej właściwości. Tylko jeśli przedmiot petycji mieści się w zakresie zadań i kompetencji adresata, jest on podmiotem właściwym do jej rozpatrzenia. Zważyć ponadto należy</w:t>
      </w:r>
      <w:r>
        <w:rPr>
          <w:rFonts w:eastAsia="Times New Roman" w:cs="Times New Roman"/>
          <w:szCs w:val="20"/>
        </w:rPr>
        <w:t>,</w:t>
      </w:r>
      <w:r>
        <w:rPr>
          <w:rFonts w:eastAsia="Times New Roman" w:cs="Times New Roman"/>
          <w:szCs w:val="20"/>
        </w:rPr>
        <w:t xml:space="preserve"> iż organy administracji publicznej, zgodnie z wyrażoną w art. 7 Konstytucji zasadą legalności, działają na podstawie i w granicach prawa. Z zasady tej wynika w szczególności zakaz domniemania kompetencji organu władzy publicznej co oznacza, że wszelkie działania władzy publicznej winny opierać się na wyraźnie określonej normie kompetencyjnej. W powyższym kontekście wskazać należy, iż organ stanowiący samorządu gminnego nie ma podstaw prawnych do podjęcia działań mających na celu uwzględnienie wniosków zawartych w petycji - żaden bowiem powszechnie obowiązujący akt prawny rangi ustawowej (który zawierałby odpowiednie przepisy kompetencyjne dla rady gminy w tym zakresie) nie reguluje kwestii podejmowania uchwał w przedmiocie wyrażania protestów dotyczących projektów ustaw regulujących działalność ustroju sądownictwa. Zgodnie zaś z brzmieniem § 7 Rozporządzenia Rady Ministrów z dnia 5 marca 2024 r. w sprawie utworzenia, organizacji i trybu działania Komisji Kodyfikacyjnej Ustroju Sądownictwa i Prokuratury (Dz. U.</w:t>
      </w:r>
      <w:r>
        <w:rPr>
          <w:rFonts w:eastAsia="Times New Roman" w:cs="Times New Roman"/>
          <w:szCs w:val="20"/>
        </w:rPr>
        <w:t xml:space="preserve"> z 2024 r.</w:t>
      </w:r>
      <w:r>
        <w:rPr>
          <w:rFonts w:eastAsia="Times New Roman" w:cs="Times New Roman"/>
          <w:szCs w:val="20"/>
        </w:rPr>
        <w:t xml:space="preserve"> poz. 350) przygotowywanie założeń i ogólnych kierunków zmian w przepisach prawa dotyczących ustroju sądownictwa i prokuratury, a także opracowywanie projektów aktów normatywnych o podstawowym znaczeniu dla ustroju sądownictwa i prokuratury należy do zadań Komisji utworzonej przy Ministrze Sprawiedliwości. Z powyższych względów Komisja uznała, że to właśnie Minister Sprawiedliwości będzie właściwy do rozpatrzenia petycji toteż w niniejszej sprawie zasadnym jest p</w:t>
      </w:r>
      <w:r>
        <w:rPr>
          <w:rFonts w:eastAsia="Times New Roman" w:cs="Times New Roman"/>
          <w:szCs w:val="20"/>
        </w:rPr>
        <w:t>odjęcie</w:t>
      </w:r>
      <w:r>
        <w:rPr>
          <w:rFonts w:eastAsia="Times New Roman" w:cs="Times New Roman"/>
          <w:szCs w:val="20"/>
        </w:rPr>
        <w:t xml:space="preserve"> uchwały o przekazaniu petycji Ministrowi Sprawiedliwości jako organowi właściwemu.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Niniejsza uchwała wraz z jej uzasadnieniem stanowią zawiadomienie</w:t>
        <w:br/>
        <w:t>o sposobie załatwienia petycji w rozumieniu art. 13 ustawy z dnia 11 lipca</w:t>
        <w:br/>
        <w:t>2014 r. o petycjach (t.j. Dz. U. z 2018 r. poz. 870) i zostanie ona doręczona podmiotowi wnoszącemu petycję. Sposób załatwienia petycji nie może być przedmiotem skargi.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E64EC027-F2C6-4C78-A963-277B8A2AA36A.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E64EC027-F2C6-4C78-A963-277B8A2AA36A.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Verdana" w:eastAsia="Verdana" w:hAnsi="Verdana" w:cs="Verdana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maja 2025 r.</dc:title>
  <dc:subject>w sprawie przekazania petycji według właściwości</dc:subject>
  <dc:creator>amazur</dc:creator>
  <cp:lastModifiedBy>amazur</cp:lastModifiedBy>
  <cp:revision>1</cp:revision>
  <dcterms:created xsi:type="dcterms:W3CDTF">2025-04-30T11:14:43Z</dcterms:created>
  <dcterms:modified xsi:type="dcterms:W3CDTF">2025-04-30T11:14:43Z</dcterms:modified>
  <cp:category>Akt prawny</cp:category>
</cp:coreProperties>
</file>