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  <w:r>
        <w:rPr>
          <w:rFonts w:ascii="Times New Roman" w:eastAsia="Times New Roman" w:hAnsi="Times New Roman" w:cs="Times New Roman"/>
          <w:b/>
          <w:i/>
          <w:sz w:val="20"/>
          <w:u w:val="thick"/>
        </w:rPr>
        <w:t>Projekt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 dnia  7 maja 2025 r.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Zatwierdzony przez .........................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Uchwała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 xml:space="preserve"> Nr 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....................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br/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Rady Miejskiej w Rogoźnie</w:t>
      </w:r>
    </w:p>
    <w:p w:rsidR="00A77B3E">
      <w:pPr>
        <w:spacing w:before="280" w:after="28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z dnia .................... 2025 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z w:val="22"/>
          <w:u w:val="none"/>
        </w:rPr>
        <w:t>w sprawie dzierżawy części działki nr 523 położonej w Rogoźnie w trybie bezprzetargowym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 xml:space="preserve">Na podstawie  art. 18 ust. 2 pkt 9 lit. a ustawy z dnia 8 marca 1990 r. o samorządzie gminnym (t.j. Dz.U.  z 2024 r. poz. 1465 z późn. zm.) oraz art. 37 ust. 4 ustawy z dnia 21 sierpnia 1997 r. o gospodarce nieruchomościami (t.j. Dz.U. z 2024 r. poz. 1145 z późn. zm.) w związku z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§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 pkt 2 Uchwały Nr XXV/235/2016 Rady Miejskiej w Rogoźnie z dnia 27 kwietnia 2016 r. (Dz. Urzęd. Woj. Wlkp., 2016 poz. 3114 z późn. zm.) w sprawie zasad gospodarowania nieruchomościami Gminy Rogoźno,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Rada Miejska w Rogoźnie uchwala co następuje: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Wyraża się zgodę na wydzierżawienie w trybie bezprzetargowym części działki nr 523 o pow. 100 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, KW PO1O/00024671/1 położonej w miejscowości Rogoźno na okres 3 lat.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uchwały powierza się Burmistrzowi Rogoźna.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4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 życie z dniem podjęcia.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0"/>
        <w:contextualSpacing w:val="0"/>
        <w:jc w:val="center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uzasadnienie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283" w:right="0" w:firstLine="0"/>
        <w:contextualSpacing w:val="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Zgodnie z art. 18 ust. 2 pkt 9 lit. a ustawy z dnia 8 marca 1990 roku o samorządzie gminnym</w:t>
      </w:r>
      <w:r>
        <w:rPr>
          <w:color w:val="000000"/>
          <w:szCs w:val="20"/>
          <w:shd w:val="clear" w:color="auto" w:fill="FFFFFF"/>
        </w:rPr>
        <w:t xml:space="preserve"> </w:t>
        <w:br/>
        <w:t>( t</w:t>
      </w:r>
      <w:r>
        <w:rPr>
          <w:color w:val="000000"/>
          <w:szCs w:val="20"/>
          <w:shd w:val="clear" w:color="auto" w:fill="FFFFFF"/>
          <w:lang w:val="x-none" w:eastAsia="en-US" w:bidi="ar-SA"/>
        </w:rPr>
        <w:t>.j Dz. U. z 2024</w:t>
      </w:r>
      <w:r>
        <w:rPr>
          <w:color w:val="000000"/>
          <w:szCs w:val="20"/>
          <w:shd w:val="clear" w:color="auto" w:fill="FFFFFF"/>
        </w:rPr>
        <w:t xml:space="preserve"> r.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poz. 1465 z późn. zm.) oraz art 37 ust. 4 ustawy z dnia 21 sierpnia 1997 r. </w:t>
      </w:r>
      <w:r>
        <w:rPr>
          <w:color w:val="000000"/>
          <w:szCs w:val="20"/>
          <w:shd w:val="clear" w:color="auto" w:fill="FFFFFF"/>
        </w:rPr>
        <w:br/>
      </w:r>
      <w:r>
        <w:rPr>
          <w:color w:val="000000"/>
          <w:szCs w:val="20"/>
          <w:shd w:val="clear" w:color="auto" w:fill="FFFFFF"/>
          <w:lang w:val="x-none" w:eastAsia="en-US" w:bidi="ar-SA"/>
        </w:rPr>
        <w:t>o gospodarce nieruchomościami (t.j Dz. U.</w:t>
      </w:r>
      <w:r>
        <w:rPr>
          <w:color w:val="000000"/>
          <w:szCs w:val="20"/>
          <w:shd w:val="clear" w:color="auto" w:fill="FFFFFF"/>
        </w:rPr>
        <w:t xml:space="preserve"> z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2024</w:t>
      </w:r>
      <w:r>
        <w:rPr>
          <w:color w:val="000000"/>
          <w:szCs w:val="20"/>
          <w:shd w:val="clear" w:color="auto" w:fill="FFFFFF"/>
        </w:rPr>
        <w:t xml:space="preserve"> r.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poz. 1145 z późn. zm.) ustawodawca nałożył obowiązek podjęcia uchwały Rady Miejskiej w przypadku, gdy po umowie dzierżawy zawartej na czas oznaczony do lat 3, strona zawiera kolejną umowę, których przedmiotem jest ta sama nieruchomość. Dotychczasowy dzierżawca złożył wniosek o ponowne wydzierżawienie przedmiotowego gruntu </w:t>
      </w:r>
      <w:r>
        <w:rPr>
          <w:color w:val="000000"/>
          <w:szCs w:val="20"/>
          <w:shd w:val="clear" w:color="auto" w:fill="FFFFFF"/>
        </w:rPr>
        <w:t>na cele ogrodu przydomowego</w:t>
      </w:r>
      <w:r>
        <w:rPr>
          <w:color w:val="000000"/>
          <w:szCs w:val="20"/>
          <w:shd w:val="clear" w:color="auto" w:fill="FFFFFF"/>
          <w:lang w:val="x-none" w:eastAsia="en-US" w:bidi="ar-SA"/>
        </w:rPr>
        <w:t>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283" w:right="0" w:firstLine="227"/>
        <w:contextualSpacing w:val="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ab/>
        <w:t>W nawiązaniu do powyższego podjęcie przez Radę Miejską niniejszej uchwały jest w pełni uzasadnione.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0"/>
        <w:contextualSpacing w:val="0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sectPr>
      <w:footerReference w:type="default" r:id="rId5"/>
      <w:type w:val="nextPage"/>
      <w:pgSz w:w="11907" w:h="16839" w:code="9"/>
      <w:pgMar w:top="1440" w:right="862" w:bottom="1440" w:left="14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588B8B8F-6A23-45F2-87BA-3FE7663FA6F9. Projekt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403"/>
      <w:gridCol w:w="32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588B8B8F-6A23-45F2-87BA-3FE7663FA6F9. Projekt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Rogoźnie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dzierżawy części działki nr 523 położonej w Rogoźnie w trybie bezprzetargowym</dc:subject>
  <dc:creator>iostrowska</dc:creator>
  <cp:lastModifiedBy>iostrowska</cp:lastModifiedBy>
  <cp:revision>1</cp:revision>
  <dcterms:created xsi:type="dcterms:W3CDTF">2025-05-07T14:00:16Z</dcterms:created>
  <dcterms:modified xsi:type="dcterms:W3CDTF">2025-05-07T14:00:16Z</dcterms:modified>
  <cp:category>Akt prawny</cp:category>
</cp:coreProperties>
</file>