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kwietnia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1755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część działki o nr ewid. 1755 o pow. 22,50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dla której prowadzona była księga wieczysta Tom V, karta 238 położonej w miejscowości Rogoźno na okres 2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2024 r. poz. 1465 z późn. zm.)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</w:t>
      </w:r>
      <w:r>
        <w:rPr>
          <w:color w:val="000000"/>
          <w:szCs w:val="20"/>
          <w:shd w:val="clear" w:color="auto" w:fill="FFFFFF"/>
        </w:rPr>
        <w:t>jako ogród.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25B2BD5F-C22C-4A86-8D3E-6C6D77CB66AD.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25B2BD5F-C22C-4A86-8D3E-6C6D77CB66AD.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1755 w Rogoźnie w trybie bezprzetargowym</dc:subject>
  <dc:creator>iostrowska</dc:creator>
  <cp:lastModifiedBy>iostrowska</cp:lastModifiedBy>
  <cp:revision>1</cp:revision>
  <dcterms:created xsi:type="dcterms:W3CDTF">2025-04-02T07:55:03Z</dcterms:created>
  <dcterms:modified xsi:type="dcterms:W3CDTF">2025-04-02T07:55:03Z</dcterms:modified>
  <cp:category>Akt prawny</cp:category>
</cp:coreProperties>
</file>