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31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16 kwietnia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sprzedaż działek nr: 48/7 i 48/8, położonych w obrębie NIENAWISZCZ, w trybie 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9 lit. a ustawy z dnia 8 marca 1990 r. o samorządzie gminnym (t.j. Dz.U. 2024 r. poz. 1465 z późn. zm.), art. 13 ust. 1 ustawy z dnia 21 sierpnia 1997 r. o gospodarce nieruchomościami (t.j. Dz.U. 2024 r. poz. 1145 z późn. zm.), w związku z §4 pkt 7 Uchwały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XXV/235/2016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Rogoźnie z dnia 27 kwietnia 2016 r. w sprawie zasad gospodarowania nieruchomościami Gminy Rogoźno (Dz. Urzęd. Woj. Wlkp., poz.3114 z późn. zm.) Rada Miejska uchwala, co następuję: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sprzedaż w trybie przetargowym działek gruntu, położonych w obrębie NIENAWISZCZ (Nienawiszcz, gm. Rogoźno), objętych księgą wieczystą KW PO1O/00035358/1, oznaczonych ewidencyjnie: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23"/>
        <w:gridCol w:w="3648"/>
        <w:gridCol w:w="52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nr działki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powierzchnia [ha]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48/7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0,0671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48/8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0,0869</w:t>
            </w:r>
          </w:p>
        </w:tc>
      </w:tr>
    </w:tbl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>Rada Miejska w § 4 pkt 7 Uchwały Nr XXV/235/2016 Rady Miejskiej w Rogoźnie z dnia 27 kwietnia 2016 r. w sprawie zasad gospodarowania nieruchomościami Gminy Rogoźno, zastrzega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>do swojej kompetencji sprawy dotyczące sprzedaży nieruchomości, której wartość szacunkowa określona przez rzeczoznawcę majątkowego przekracza kwotę wynoszącą 10 000,00zł. Przeznaczon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do sprzedaży działk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i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stanowi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ą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własność Gminy Rogoźno.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W oparciu o ustalenia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miejscowego planu zagospodarowania przestrzennego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na obszarze miejscowości Nienawiszcz, gmina Rogoźno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uchwalonego Uchwałą Nr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XCII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/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1009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/202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Rady Miejskiej w Rogoźnie z dnia 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marca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 (Dz. Urzęd. Woj. Wlkp. z dnia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04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.0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.202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r., poz.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3483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) działk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i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gruntu nr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: 48/7 i 48/8 (obręb Nienawiszcz)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objęt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są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symbolem 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>5MN-U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o przeznaczeniu: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„tereny zabudowy mieszkaniowej jednorodzinnej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</w:rPr>
        <w:t xml:space="preserve"> lub usług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>”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Ww. działki położone są w obszarze chronionego krajobrazu: 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>„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Dolina Wełny i Rynna Gołaniecko-Wągrowiecka". 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>Wartość przewidzian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ych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do sprzedaży dział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ek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przewyższa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ją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kwot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y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10 000,00zł, w nawiązaniu do powyższego podjęcie przez Radę Miejską niniejszej uchwały jest w pełni uzasadnione.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1098ECCD-FD94-4ECB-BEE1-22D5C06DC268.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1098ECCD-FD94-4ECB-BEE1-22D5C06DC268.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16 kwietnia 2025 r.</dc:title>
  <dc:subject>w sprawie wyrażenia zgody na sprzedaż działek nr: 48/7 i 48/8, położonych w obrębie NIENAWISZCZ, w^trybie przetargowym</dc:subject>
  <dc:creator>molederek</dc:creator>
  <cp:lastModifiedBy>molederek</cp:lastModifiedBy>
  <cp:revision>1</cp:revision>
  <dcterms:created xsi:type="dcterms:W3CDTF">2025-03-31T13:23:54Z</dcterms:created>
  <dcterms:modified xsi:type="dcterms:W3CDTF">2025-03-31T13:23:54Z</dcterms:modified>
  <cp:category>Akt prawny</cp:category>
</cp:coreProperties>
</file>