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11 marca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11 marca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petycji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15 i art 18b ust. 1 ustawy z dnia 8 marca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1990 r. o samorządzie gminnym (t.j. Dz.U. z 2024 r. poz. 1465 z późn. zm.) oraz art. 13 ust. 1 ustawy z dnia 11 lipca 2014 r. o petycjach (t.j. Dz.U. 2018 r. poz. 870) Rada Miejska 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zapoznaniu się z petycją z dnia 14 stycznia 2025 roku w sprawie Uchwały nr XI/117/2024 z dnia 27 listopada 2024 roku, Rada Miejska w Rogoźnie rozpatrzyła petycję pozytywnie.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Uzasadnienie stanowi załącznik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Zobowiązuje się Przewodniczącego Rady Miejskiej w Rogoźnie do poinformowania wnoszącego petycję o sposobie jej załatwienia.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 xml:space="preserve">W dniu 14 stycznia 2025 roku do Urzędu Miejskiego wpłynęła petycja dotycząca </w:t>
      </w:r>
      <w:r>
        <w:rPr>
          <w:rFonts w:eastAsia="Times New Roman" w:cs="Times New Roman"/>
          <w:sz w:val="22"/>
          <w:szCs w:val="20"/>
        </w:rPr>
        <w:t>Uchwały nr XI/117/2024 z dnia 27 listopada 2024 roku</w:t>
      </w:r>
      <w:r>
        <w:rPr>
          <w:rFonts w:eastAsia="Times New Roman" w:cs="Times New Roman"/>
          <w:sz w:val="22"/>
          <w:szCs w:val="20"/>
        </w:rPr>
        <w:t xml:space="preserve"> w sprawie </w:t>
      </w:r>
      <w:r>
        <w:rPr>
          <w:rFonts w:eastAsia="Times New Roman" w:cs="Times New Roman"/>
          <w:sz w:val="22"/>
          <w:szCs w:val="20"/>
        </w:rPr>
        <w:t>określenia górnych stawek opłat za usługi w zakresie opróżniania zbiorników bezodpływowych lub osadników w instalacjach przydomowych oczyszczalni ścieków od właścicieli nieruchomości i transportu nieczystości ciekłych</w:t>
      </w:r>
      <w:r>
        <w:rPr>
          <w:rFonts w:eastAsia="Times New Roman" w:cs="Times New Roman"/>
          <w:sz w:val="22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 xml:space="preserve">W dniu 19 lutego 2025 roku Komisja Skarg, Wniosków i Petycji na swoim posiedzeniu omówiła przedmiot petycji, jednocześnie odstępując od podjęcia opinii w przedmiotowej kwestii, ponieważ w programie sesji Rady Miejskiej wyznaczonej na dzień 26 lutego 2025 roku uwzględniono projekt uchwały w sprawie </w:t>
      </w:r>
      <w:r>
        <w:rPr>
          <w:rFonts w:eastAsia="Times New Roman" w:cs="Times New Roman"/>
          <w:sz w:val="22"/>
          <w:szCs w:val="20"/>
        </w:rPr>
        <w:t>określenia górnych stawek opłat za usługi w zakresie opróżniania zbiorników bezodpływowych lub osadników w instalacjach przydomowych oczyszczalni ścieków od właścicieli nieruchomości i transportu nieczystości ciekłych.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Rada Miejska w Rogoźnie na sesji w dniu 26 lutego 2025 roku podejmując uchwałę Nr XV/163/2025 wzięła pod uwagę podwyższenie górnych stawek opłat za usługi w zakresie opróżniania zbiorników bezodpływowych i osadników w instalacjach przydomowych oczyszczalni ścieków od właścicieli nieruchomości i transportu nieczystości ciekłych.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Aquabellis Sp. z o. o. w piśmie z dnia 07 lutego 2025 r. poinformowała Burmistrza Rogoźna o wprowadzeniu nowego cennika na stacji zlewnej z rozróżnieniem cen: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- za odbiór ścieków pochodzących ze zbiorników bezodpływowych;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- za odbiór osadów pochodzących z przydomowych oczyszczalni ścieków.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Na podstawie powyższego dokonano ponownie kalkulacji wysokości górnych stawek opłat za usługi w zakresie opróżniania zbiorników bezodpływowych lub osadników w instalacjach przydomowych oczyszczalni ścieków od właścicieli nieruchomości i transportu nieczystości ciekłych, z których wyliczono wzrost przedmiotowych stawek odpowiednio o 10,00 zł i 25,00 zł w stosunku do stawek uchwalonych Uchwałą Nr XI/117/2024 Rady Miejskiej w Rogoźnie z dnia 27 listopada 2024 r. w sprawie określenia górnych stawek opłat za usługi w zakresie opróżniania zbiorników bezodpływowych lub osadników w instalacjach przydomowych oczyszczalni ścieków od właścicieli nieruchomości i transportu nieczystości ciekłych.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W związku z powyższym petycję rozpatrzono pozytywnie.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sz w:val="22"/>
          <w:szCs w:val="20"/>
        </w:rPr>
        <w:t>Niniejsza uchwała wraz z jej uzasadnieniem stanowią zawiadomienie</w:t>
        <w:br/>
        <w:t>o sposobie załatwienia petycji w rozumieniu art. 13 ustawy z dnia 11 lipca</w:t>
        <w:br/>
        <w:t>2014 r. o petycjach (t.j. Dz. U. z 2018 r. poz. 870) i zostanie ona doręczona podmiotowi wnoszącemu petycję. Sposób załatwienia petycji nie może być przedmiotem skargi.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5D8F9ED3-5508-4CDD-BD14-03C5CA189C23.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5D8F9ED3-5508-4CDD-BD14-03C5CA189C23.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marca 2025 r.</dc:title>
  <dc:subject>w sprawie rozpatrzenia petycji</dc:subject>
  <dc:creator>amazur</dc:creator>
  <cp:lastModifiedBy>amazur</cp:lastModifiedBy>
  <cp:revision>1</cp:revision>
  <dcterms:created xsi:type="dcterms:W3CDTF">2025-03-11T11:40:38Z</dcterms:created>
  <dcterms:modified xsi:type="dcterms:W3CDTF">2025-03-11T11:40:38Z</dcterms:modified>
  <cp:category>Akt prawny</cp:category>
</cp:coreProperties>
</file>