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10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miejscowego planu zagospodarowania przestrzennego terenów położonych w miejscowościach: Pruśce, Biniewo, Marlewo na obszarze Gminy Rogoźno w zakresie części działek położonych w miejscowości Pruśce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5 ustawy z dnia 8 marca 1990 r. o samorządzie gminnym (t.j. Dz. U. z 2024 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z późn. zm.) oraz art. 20 ust. 1 ustawy z dnia 27 marca 2003 r. o planowaniu i zagospodarowaniu przestrzennym (t.j.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 2024 r. poz. 1130 ze zmianami), w związku z art. 67 ust. 3 ustawy z dnia 7 lipca 2023 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zmianie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 zagospodarowaniu przestrzennym oraz niektórych innych ustaw (Dz. 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 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1688 ze zmianami),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Uchwala się zmianę miejscowego planu zagospodarowania przestrzennego terenów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miejscowościach: Pruśce, Biniewo, Marlewo na obszarze Gminy Rogoźno w zakresie części działek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miejscowości Pruśce, zwany dalej „planem”, po stwierdzeniu, że nie narusza on ustaleń „Studium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kierunków zagospodarowania przestrzennego gminy Rogoźno”, uchwalonego Uchwałą Rady Miejskiej w Rogoźnie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XX/160/2019 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2019 r. ze zmianami.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Granicę obszaru objętego planem miejscowym określa rysunek planu.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Integralnymi częściami uchwały są: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rysunek planu, zatytułowany „Zmiana miejscowego planu zagospodarowania przestrzennego terenów położonych w miejscowościach: Pruśce, Biniewo, Marlewo na obszarze Gminy Rogoźno w zakresie części działek położonych w miejscowości Pruśce”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skali 1:1000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wyrysem ze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kierunków zagospodarowania przestrzennego gminy Rogoźno – załącznik nr 1;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Rady Miejskiej w Rogoźnie w sprawie rozpatrzenia uwag wniesionych do projektu miejscowego planu zagospodarowania przestrzennego –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Rady Miejskiej w Rogoźnie o sposobie realizacji zapisanych w planie miejscowym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które należą do zadań własnych gminy, oraz zasadach ich finansowania – załącznik nr 3;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dane przestrzenne w postaci dokumentu elektronicznego GML – załącznik nr 4.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ogólne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 dalszych przepisach niniejszej uchwały jest mowa o: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garażowo-gospodarczym – należy przez to rozumieć budynek garażowy, gospodarczy lub łączący obie funkcje;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mieszkalno-usługowym – należy przez to rozumieć budynek składający się z jednego lokalu mieszkalnego i jednego lokalu usługowego o powierzchni większej niż 30% powierzchni całkowitej budynku;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dachu płaskim – należy przez to rozumieć dach o kącie nachylenia połaci dachowych do 12º;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określoną rysunkiem planu, określającą dopuszczalną minimalną odległość ściany budynku i wiaty od linii rozgraniczającej tereny o różnym przeznaczeniu lub różnych zasadach zagospodarowania;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 – należy przez to rozumieć przepisy ustaw wraz z aktami wykonawczymi oraz akty prawa miejscowego;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terenie – należy przez to rozumieć obszar o określonym przeznaczeniu i zasadach zagospodarowania, wyznaczony na rysunku planu liniami rozgraniczającymi oraz oznaczony symbolem graficznym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literowym.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planem;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 różnym przeznaczeniu lub różnych zasadach zagospodarowania;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terenów oznaczone symbolami graficznymi, numerowymi i literowymi,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 linie zabudowy.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następujące przeznaczenie terenów: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zabudowy mieszkaniowej jednorodzinnej lub usług oznaczony symbolem 1MN-U;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lasu oznaczony symbolem 1L.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 kształtowania ładu przestrzennego: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lokalizację zabudowy zgodnie z wyznaczonymi na rysunku planu nieprzekraczalnymi liniami zabudowy oraz przepisami odrębnymi, przy czym okap, gzyms, balkon, daszek nad wejściem, taras, schody zewnętrzne, pochylnia lub rampa nie może przekroczyć wyznaczonej linii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kierunku linii rozgraniczającej drogę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1,5 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odrębnych, określających odległości obiektów budowlanych od krawędzi jezdni;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budynków w odległości 1,5 m od granicy z działkami sąsiednimi lub bezpośrednio przy tej granicy zgodnie z przepisami odrębnymi;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zabudowy na istniejących działkach niespełniających minimalnej powierzchni nowo wydzielanej działki budowlanej określonej w ustaleniach szczegółowych dla poszczególnych terenów;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obiektów małej architektury;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 obiektów handlowych o powierzchni sprzedaży przekraczającej 400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 krajobrazu ustala się: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lokalizowania przedsięwzięć mogących zawsze znacząco oddziaływać na środowisko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inwestycji celu publicznego;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ochrony powietrza atmosferycznego – stosowanie ograniczeń lub zakazów w zakresie eksploatacji instalacji, w których następuje spalanie paliw dla celów grzewczych zgodnie z przepisami odrębnymi;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ochrony przed hałasem: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nakaz zachowania dopuszczalnych poziomów hałasu określonych w przepisach odrębnych, na terenie oznaczonym symbolem MN-U jak dla terenów mieszkaniowo-usługowych,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nakaz ograniczania emisji hałasu z poszczególnych terenów objętych planem w sposób zapewniający zachowanie akustycznych standardów jakości środowiska na terenach podlegających ochronie akustycznej zlokalizowanych w sąsiedztwie;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gospodarowania odpadami – nakaz zagospodarowania odpadów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regulaminem utrzymania czystości i porządku w gminie oraz przepisami odrębnymi.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krajobrazu ustala się nakaz kształtowania zabudowy i zagospodarowania terenu zgodnie z ustaleniami niniejszej uchwały.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określa się zasad ochrony dziedzictwa kulturowego i zabytków, w tym krajobrazów kulturowych, oraz dóbr kultury współczesnej.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określa się wymagań wynikających z potrzeby kształtowania przestrzeni publicznych.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granic i sposobów zagospodarowania terenów lub obiektów podlegających ochronie na podstawie odrębnych przepisów, terenów górniczych, obszarów szczególnego zagrożenia powodzią, obszarów osuwania się mas ziemnych, krajobrazów priorytetowych określonych w audycie krajobrazowym oraz planach zagospodarowania przestrzennego województwa, ustala się nakaz uwzględnienia ograniczeń określonych w przepisach odrębnych, wynikających z położenia terenów objętym planem w zasięgu obszaru chronionego krajobrazu „Dolina Wełny i Rynna Gołaniecko-Wągrowiecka”.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 warunków scalania i podziału nieruchomości objętych planem: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wskazuje się terenów do objęcia scaleniem i podziałem, zgodnie z przepisami odrębnymi;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scalanie i podział nieruchomości zgodnie z przepisami odrębnymi, przy czym parametry działki nie mogą być mniejsze niż określone w ustaleniach szczegółowych.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oraz ograniczeń w ich użytkowaniu, w tym zakazu zabudowy, ustala się strefę sanitarną cmentarza w granicach terenu oznaczonego symbolem 1MN-U, w której obowiązuje nakaz uwzględnienia ograniczeń w zagospodarowaniu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wynikających z przepisów odrębnych.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 budowy systemów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ustala się: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komunikacji: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obsługę komunikacyjną terenów objętych planem poprzez przyległe drogi wewnętrzne powiązane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zewnętrznym układem komunikacyjnym,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możliwości obsługi komunikacyjnej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wojewódzkiej nr 241, położonej poza granicami obszaru objętego planem;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liczbę miejsc do parkowania zlokalizowanych w obrębie działki budowlanej: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stanowisko postojowe na każdy lokal mieszkalny,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stanowiska postojowe na każde 100 m² powierzchni użytkowej obiektów handlowych,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stanowiska postojowe na każde 10 miejsc w obiektach gastronomicznych,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 stanowiska postojowe na każde 10 miejsc noclegowych w obiektach hotelowych,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stanowiska postojowe na każde 100 m² powierzchni użytkowej lub na każdych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zatrudnionych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usługowych innych niż wymienione wyżej,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realizacji miejsc do parkowania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kubatury budynków,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nakaz wyznaczenia odpowiedniej liczby miejsc do parkowania dla pojazdów zaopatrzonych w kartę parkingową zgodnie z przepisami odrębnymi;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zaopatrzenia w wodę: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 wodę z sieci wodociągowej,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zaopatrzenia w wodę z ujęć indywidualnych,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nakaz zapewnienia wody dla celów przeciwpożarowych;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odprowadzenia ścieków: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docelowe odprowadzenie ścieków do kanalizacji sanitarnej zgodnie z przepisami odrębnymi,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czasu budowy kanalizacji sanitarnej dopuszczenie stosowania szczelnych zbiorników bezodpływowych zgodnie z przepisami odrębnymi,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odprowadzania ścieków do indywidualnych oczyszczalni ścieków;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odprowadzenia wód opadowych i roztopowych – zagospodarowanie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na własnym terenie lub ich odprowadzanie do kanalizacji deszczowej, dołów chłonnych lub do zbiorników retencyjnych zgodnie z przepisami odrębnymi;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zaopatrzenia w gaz: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docelowe podłączenie terenów objętych planem do sieci gazowej,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zaopatrzenia w gaz ze źródeł indywidualnych;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zaopatrzenia w energię elektryczną: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zaopatrzenie w energię elektryczną z istniejącej i projektowanej sieci elektroenergetycznej, w 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zgodnie z przepisami odrębnymi,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zachowania istniejącej sieci elektroenergetycznej, z możliwością jej przebudowy oraz rozbudowy,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 lokalizacji stacji transformatorowych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zapewnieniem dostępu do dróg publicznych.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określa się sposobu i terminu tymczasowego zagospodarowania, urządzania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użytkowania terenów.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szczegółowe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oraz wskaźników zagospodarowania terenu, na terenie oznaczonym symbolem 1MN-U: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zachowanie istniejącej zabudowy z możliwością jej przebudowy, rozbudowy, nadbudowy przy zastosowaniu parametrów określonych w niniejszym paragrafie;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mieszkalnych jednorodzinnych wolnostojących,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mieszkalno-usługowych,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usługowych,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garażowo-gospodarczych i wiat,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 urządzeń infrastruktury technicznej,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dojść, dojazdów i miejsc postojowych;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wskaźniki zagospodarowania terenu: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nadziemna intensywność zabudowy: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maksymalna – 0,80,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– 0,00,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– 40%,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– 30%;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zabudowy: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 linie zabudowy zgodnie z rysunkiem planu,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maksymalna wysokość: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mieszkalnego jednorodzinnego, budynku mieszkalno-usługowego i budynku usługowego – nie więcej niż 10,0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 garażowo-gospodarczego i wiaty – nie więcej niż 6,0 m,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maksymalna liczba kondygnacji: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budynku mieszkalnego jednorodzinnego, budynku mieszkalno-usługowego i budynku usługowego – dwie kondygnacje nadziemne,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budynku garażowo-gospodarczego – jedna kondygnacja nadziemna,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podpiwniczenie budynków, przy czym poziom posadzki parteru należy sytuować na wysokości nieprzekraczającej 0,6 m nad poziomem terenu,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geometria głównych połaci dachowych: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budynku mieszkalnego jednorodzinnego, budynku mieszkalno-usługowego i budynku usługowego – dachy płaskie lub spadziste symetryczne dwu- lub wielospadowe o nachyleniu 20° – 45°,</w:t>
      </w:r>
    </w:p>
    <w:p w:rsidR="00A77B3E">
      <w:pPr>
        <w:keepNext w:val="0"/>
        <w:keepLines/>
        <w:spacing w:before="0" w:after="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budynku garażowo-gospodarczego i wiaty – dachy płaskie lub spadziste jedno- lub dwuspadowe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nachyleniu 20° – 45°,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dachów spadzistych: dachówka, materiały imitujące dachówkę w kolorach od brunatnego, poprzez ceglany do czerwonego,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dopuszczeniem dachów w odcieniach szarości,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przebudowy i rozbudowy istniejącej zabudowy dopuszcza się zachowanie istniejącej formy i pokrycia dachu;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parametry działek uzyskanych w wyniku scalania i podziału nieruchomości: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powierzchnia – 700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szerokość frontu – 18,0 m,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w stosunku do pasa drogowego – od 75° do 105°;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minimalną powierzchnię nowo wydzielanych działek budowlanych – 700 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wyjątkiem działek wydzielanych dla realizacji sieci i urządzeń infrastruktury technicznej, dojść i dojazdów, powiększenia nieruchomości sąsiedniej oraz regulacji granic pomiędzy nieruchomościami.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oraz wskaźników zagospodarowania terenu, na terenie oznaczonym symbolem 1L: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zachowuje się istniejące grunty leśne;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budynków;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zgodnie z przepisami odrębnymi: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 urządzeń infrastruktury technicznej,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dróg leśnych;</w:t>
      </w:r>
    </w:p>
    <w:p w:rsidR="00A77B3E">
      <w:pPr>
        <w:keepNext w:val="0"/>
        <w:keepLines/>
        <w:spacing w:before="0" w:after="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melioracji wodnych.</w:t>
      </w:r>
    </w:p>
    <w:p w:rsidR="00A77B3E">
      <w:pPr>
        <w:keepNext/>
        <w:keepLines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OZDZIAŁ 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stawkę służącą naliczaniu jednorazowych opłat, o jakich mowa w art. 36 ust. 4 ustawy z dnia 27 marca 2003 r. o planowaniu i zagospodarowaniu przestrzennym (t.j. Dz. U. z 2024 r. poz. 1130 ze zmianami) w wysokości 30%.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po upływie 14 dni od dnia ogłoszenia jej w Dzienniku Urzędowym Województwa Wielkopolskiego.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Zalacznik2.pdf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3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Zalacznik3.pdf</w:t>
        </w:r>
      </w:hyperlink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4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Zalacznik4.pdf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Prace nad zmianą miejscowego planu zagospodarowania przestrzennego terenów położonych w miejscowościach: Pruśce, Biniewo, Marlewo na obszarze Gminy Rogoźno w zakresie części działek położonych w miejscowości Pruśce wykonano w oparciu o Uchwałę Nr LXXXVI/923/2023 Rady Miejskiej w Rogoźnie z dnia 27 września 2023 r. w sprawie przystąpienia do sporządzenia zmiany miejscowego planu zagospodarowania przestrzennego terenów położonych w miejscowościach: Pruśce, Biniewo, Marlewo na obszarze Gminy Rogoźno w zakresie części działek położonych w miejscowości Pruśce.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Przedmiotem planu miejscowego jest ustalenie przeznaczenia oraz zasad zagospodarowania terenów położonych w obrębie ewidencyjnym Garbatka. W planie miejscowym wyznaczono teren zabudowy mieszkaniowej jednorodzinnej lub usług i teren lasu.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Plan miejscowy zawiera część tekstową, graficzną oraz rozstrzygnięcia. Zgodnie z art. 67 ust. 3 pkt 2 ustawy z dnia 7 lipca 2023 r. o zmianie ustawy o planowaniu i zagospodarowaniu przestrzennym oraz niektórych innych ustaw (Dz. U. z 2023 r. poz. 1688 ze zmianami), plan nie narusza ustaleń „Studium uwarunkowań i kierunków zagospodarowania przestrzennego gminy Rogoźno”, uchwalonego Uchwałą Rady Miejskiej w Rogoźnie nr XX/160/2019 z dnia 30 października 2019 r. ze zmianami, i jest zgodny z przepisami odrębnymi. Czynności formalno-prawne udokumentowane są w sporządzonej dokumentacji prac planistycznych.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W projekcie planu miejscowego uwzględniono wymogi określone w art. 1 ust. 2 ustawy z dnia 27 marca 2003 r. o planowaniu i zagospodarowaniu przestrzennym (t.j. Dz. U. z 2024 r. poz. 1130 ze zmianami):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  <w:tab/>
        <w:t>wymagania ładu przestrzennego, w tym urbanistyki i architektury – poprzez wprowadzenie ustaleń w zakresie zasad ochrony i kształtowania ładu przestrzennego;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  <w:tab/>
        <w:t>walory architektoniczne i krajobrazowe – poprzez wprowadzenie ustaleń w zakresie zasad kształtowania zabudowy oraz wskaźników zagospodarowania terenu, maksymalnej i minimalnej nadziemnej intensywności zabudowy, minimalnego udziału powierzchni biologicznie czynnej, maksymalnego udziału powierzchni zabudowy, maksymalnej wysokość zabudowy, minimalnej liczby i sposobu realizacji miejsc do parkowania, w tym miejsc przeznaczonych do parkowania pojazdów zaopatrzonych w kartę parkingową, oraz linii zabudowy i gabarytów obiektów;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</w:t>
        <w:tab/>
        <w:t>wymagania ochrony środowiska, w tym gospodarowania wodami i ochrony gruntów rolnych i leśnych – poprzez wprowadzenie ustaleń w zakresie zasad ochrony środowiska, przyrody i krajobrazu;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  <w:tab/>
        <w:t>wymagania ochrony dziedzictwa kulturowego i zabytków oraz dóbr kultury współczesnej – nie wystąpiła potrzeba wprowadzania ustaleń w zakresie zasad ochrony dziedzictwa kulturowego i zabytków oraz dóbr kultury współczesnej;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</w:t>
        <w:tab/>
        <w:t>wymagania ochrony zdrowia oraz bezpieczeństwa ludzi i mienia, a także potrzeby osób ze szczególnymi potrzebami, o których mowa w ustawie z dnia 19 lipca 2019 r. o zapewnianiu dostępności osobom ze szczególnymi potrzebami – poprzez wprowadzenie ustaleń w zakresie szczególnych warunków zagospodarowania terenu oraz ograniczeń w ich użytkowaniu, w tym zakazu zabudowy;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6)</w:t>
        <w:tab/>
        <w:t>walory ekonomiczne przestrzeni – poprzez ustalenie przeznaczenia terenów z uwzględnieniem dotychczasowego przeznaczenia i sposobu zagospodarowania nieruchomości;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7)</w:t>
        <w:tab/>
        <w:t>prawo własności – poprzez ustalenie przeznaczenia terenów z uwzględnieniem stanu prawnego gruntów;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8)</w:t>
        <w:tab/>
        <w:t>potrzeby obronności i bezpieczeństwa państwa – poprzez wprowadzenie ustaleń w zakresie szczególnych warunków zagospodarowania terenu oraz ograniczeń w ich użytkowaniu, w tym zakazu zabudowy;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9)</w:t>
        <w:tab/>
        <w:t>potrzeby interesu publicznego – nie wystąpiła potrzeba wprowadzania ustaleń w zakresie wymagań wynikających z potrzeby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10)</w:t>
        <w:tab/>
        <w:t>potrzeby w zakresie rozwoju infrastruktury technicznej, w szczególności sieci szerokopasmowych – poprzez wprowadzenie ustaleń w zakresie zasad modernizacji, rozbudowy i budowy systemów komunikacji i infrastruktury technicznej;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11)</w:t>
        <w:tab/>
        <w:t>zapewnienie udziału społeczeństwa w pracach nad studium uwarunkowań i kierunków zagospodarowania przestrzennego gminy, miejscowym planem zagospodarowania przestrzennego oraz planem zagospodarowania przestrzennego województwa, w tym przy użyciu środków komunikacji elektronicznej – poprzez zapewnienie możliwości składania wniosków i uwag do projektu planu miejscowego zgodnie z wymogami art. 17 ustawy z dnia 27 marca 2003 r. o planowaniu i zagospodarowaniu przestrzennym (t.j. Dz. U. z 2024 r. poz. 1130 ze zmianami);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12)</w:t>
        <w:tab/>
        <w:t>zachowanie jawności i przejrzystości procedur planistycznych – poprzez przeprowadzenie procedury planistycznej zgodnie z wymogami art. 17 ustawy z dnia 27 marca 2003 r. o planowaniu i zagospodarowaniu przestrzennym (t.j. Dz. U. z 2024 r. poz. 1130 ze zmianami);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13)</w:t>
        <w:tab/>
        <w:t>potrzeby zapewnienia odpowiedniej ilości i jakości wody, do celów zaopatrzenia ludności – poprzez wprowadzenie ustaleń w zakresie zasad modernizacji, rozbudowy i budowy systemów komunikacji i infrastruktury technicznej.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projekcie planu miejscowego uwzględniono wymogi określone w art. 1 ust. 3 ustawy z dnia 27 marca 2003 r. o planowaniu i zagospodarowaniu przestrzennym (t.j. Dz. U. z 2024 r. poz. 1130 ze zmianami) dotyczące ustalania przeznaczenia terenu lub określania potencjalnego sposobu zagospodarowania i korzystania z terenu z uwzględnieniem: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  <w:tab/>
        <w:t>interesu publicznego i prywatnego, w tym zgłaszanych w postaci wniosków i uwag, zmierzających do ochrony istniejącego stanu zagospodarowania terenu, jak i zmian w zakresie jego zagospodarowania – poprzez wprowadzenie ustaleń w zakresie przeznaczenia terenów z uwzględnieniem potrzeb realizacji inwestycji celu publicznego oraz rozstrzygnięcie wniosków i uwag składanych do projektu planu miejscowego zgodnie z wymogami art. 17 ustawy z dnia 27 marca 2003 r. o planowaniu i zagospodarowaniu przestrzennym (t.j. Dz. U. z 2024 r. poz. 1130 ze zmianami);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  <w:tab/>
        <w:t>analiz ekonomicznych, środowiskowych i społecznych – poprzez określenie sposobu realizacji zapisanych w planie miejscowym inwestycji z zakresu infrastruktury technicznej, które należą do zadań własnych gminy, oraz zasadach ich finansowania, sporządzenie prognozy oddziaływania na środowisko wraz z uwzględnieniem potrzeb społeczności lokalnej w zakresie wyznaczania nowych terenów przeznaczonych pod zainwestowanie.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projekcie planu miejscowego uwzględniono wymogi określone w art. 1 ust. 4 ustawy z dnia 27 marca 2003 r. o planowaniu i zagospodarowaniu przestrzennym (t.j. Dz. U. z 2024 r. poz. 1130 ze zmianami) dotyczące uwzględnienia wymagań ładu przestrzennego, efektywnego gospodarowania przestrzenią oraz walorów ekonomicznych przestrzeni w przypadku sytuowania nowej zabudowy w zakresie: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  <w:tab/>
        <w:t>kształtowania struktur przestrzennych przy uwzględnieniu dążenia do minimalizowania transportochłonności układu przestrzennego – poprzez wprowadzenie ustaleń w zakresie przeznaczenia terenów z uwzględnieniem dostępności komunikacyjnej do dróg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  <w:tab/>
        <w:t>lokalizowania nowej zabudowy mieszkaniowej w sposób umożliwiający mieszkańcom maksymalne wykorzystanie publicznego transportu zbiorowego jako podstawowego środka transportu – poprzez wprowadzenie ustaleń w zakresie przeznaczenia terenów z uwzględnieniem przebiegu sieci transportu publicznego;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</w:t>
        <w:tab/>
        <w:t>zapewniania rozwiązań przestrzennych, ułatwiających przemieszczanie się pieszych i rowerzystów – poprzez wprowadzenie ustaleń w zakresie przeznaczenia i zasad zagospodarowania terenów z uwzględnieniem dojść i dojazdów;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  <w:tab/>
        <w:t>dążenia do planowania i lokalizowania nowej zabudowy na obszarach o w pełni wykształconej zwartej strukturze funkcjonalno-przestrzennej, w granicach jednostki osadniczej w rozumieniu art. 2 pkt 1 ustawy z dnia 29 sierpnia 2003 r. o urzędowych nazwach miejscowości i obiektów fizjograficznych, w szczególności poprzez uzupełnianie istniejącej zabudowy oraz na terenach położonych na obszarach innych niż wymienione wyżej, wyłącznie w sytuacji braku dostatecznej ilości terenów przeznaczonych pod dany rodzaj zabudowy położonych na obszarach, o których mowa wyżej – poprzez wprowadzenie ustaleń w zakresie przeznaczenia terenów na obszarach objętych obowiązującym miejscowym planem zagospodarowania przestrzennego oraz istniejących terenów zainwestowanych.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projekcie planu miejscowego uwzględniono wyniki analizy zmian w zagospodarowaniu przestrzennym gminy Rogoźno, o której mowa w art. 32 ust. 1 ustawy z dnia 27 marca 2003 r. o planowaniu i zagospodarowaniu przestrzennym (t.j. Dz. U. z 2024 r. poz. 1130 ze zmianami), przyjętej Uchwałą Nr XXX/280/2016 Rady Miejskiej w Rogoźnie z dnia 21 września  2016 r. w sprawie: oceny aktualności Studium i Planów Miejscowych w Gminie Rogoźno, zgodnie z którą „Rada Miejska w Rogoźnie stwierdza (…) potrzebę sporządzania nowych i aktualizacji części z  obowiązujących miejscowych  planów zagospodarowania przestrzennego, zgodnie z założeniami Oceny aktualności Studium i Planów Miejscowych w Gminie Rogoźno”.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projekcie planu miejscowego uwzględniono zasady uniwersalnego projektowania poprzez ustalenie przeznaczenia oraz wprowadzenie parametrów i wskaźników kształtowania zabudowy oraz zagospodarowania terenu, biorąc pod uwagę konieczność uwzględnienia przepisów odrębnych na etapie projektowania i realizacji wszelkich obiektów budowlanych w granicach obszaru objętego planem.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projekcie planu miejscowego uwzględniono ponadto wpływ na finanse publiczne, w tym budżet gminy, poprzez określenie sposobu realizacji zapisanych w planie miejscowym inwestycji z zakresu infrastruktury technicznej, które należą do zadań własnych gminy, oraz zasadach ich finansowania.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13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6E429C26-0637-4057-88E9-D4AD4F6C436A.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6E429C26-0637-4057-88E9-D4AD4F6C436A.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6E429C26-0637-4057-88E9-D4AD4F6C436A.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6E429C26-0637-4057-88E9-D4AD4F6C436A.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6E429C26-0637-4057-88E9-D4AD4F6C436A.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6E429C26-0637-4057-88E9-D4AD4F6C436A.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footer" Target="footer6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miejscowego planu zagospodarowania przestrzennego terenów położonych w miejscowościach: Pruśce, Biniewo, Marlewo na obszarze Gminy Rogoźno w zakresie części działek położonych w miejscowości Pruśce</dc:subject>
  <dc:creator>oszczepanska</dc:creator>
  <cp:lastModifiedBy>oszczepanska</cp:lastModifiedBy>
  <cp:revision>1</cp:revision>
  <dcterms:created xsi:type="dcterms:W3CDTF">2025-03-10T14:33:42Z</dcterms:created>
  <dcterms:modified xsi:type="dcterms:W3CDTF">2025-03-10T14:33:42Z</dcterms:modified>
  <cp:category>Akt prawny</cp:category>
</cp:coreProperties>
</file>