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7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dzierżawy części działki nr 325/12 położonej w Rogoźnie w trybie bezprzetargowym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Na podstawie  art. 18 ust. 2 pkt 9 lit. a ustawy z dnia 8 marca 1990 r. o samorządzie gminnym (t.j. Dz.U. 2024 r. poz. 1465 z późn. zm.) oraz art. 37 ust. 4 ustawy z dnia 21 sierpnia 1997 r. o gospodarce nieruchomościami (t.j. Dz.U. 2024 r. poz. 1145 z późn. zm.), w związku z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§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 pkt 2 Uchwały Nr XXV/235/2016 Rady Miejskiej w Rogoźnie z dnia 27 kwietnia 2016 r. (Dz. Urzęd. Woj. Wlkp., 2016 poz. 3114 z późn. zm.) w sprawie zasad gospodarowania nieruchomościami Gminy Rogoźno,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Miejska uchwala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wydzierżawienie w trybie bezprzetargowym części działki o nr ewid. 325/12 o pow. 580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KW PO1O/00026122/2 położonej w miejscowości Rogoźno na okres 3 lat.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18 ust. 2 pkt 9 lit. a ustawy z dnia 8 marca 1990 roku o samorządzie gminnym </w:t>
      </w:r>
      <w:r>
        <w:rPr>
          <w:color w:val="000000"/>
          <w:szCs w:val="20"/>
          <w:shd w:val="clear" w:color="auto" w:fill="FFFFFF"/>
        </w:rPr>
        <w:t xml:space="preserve">           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( t.j Dz. U. z 2024 poz. 1465 z późn. zm.) oraz art 37 ust. 4 ustawy z dnia 21 sierpnia 1997 r.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o gospodarce nieruchomościami (t.j Dz. U. 2024 poz. 1145 z późn. zm.) ustawodawca nałożył obowiązek podjęcia uchwały Rady Miejskiej w przypadku, gdy po umowie dzierżawy zawartej na czas oznaczony do lat 3, strona zawiera kolejną umowę, któr</w:t>
      </w:r>
      <w:r>
        <w:rPr>
          <w:color w:val="000000"/>
          <w:szCs w:val="20"/>
          <w:shd w:val="clear" w:color="auto" w:fill="FFFFFF"/>
        </w:rPr>
        <w:t>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przedmiotem jest ta sama nieruchomość. Dotychczasowy dzierżawca złożył wniosek o ponowne wydzierżawienie przedmiotowego gruntu </w:t>
      </w:r>
      <w:r>
        <w:rPr>
          <w:color w:val="000000"/>
          <w:szCs w:val="20"/>
          <w:shd w:val="clear" w:color="auto" w:fill="FFFFFF"/>
        </w:rPr>
        <w:t>niezbędn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</w:rPr>
        <w:t>go</w:t>
      </w:r>
      <w:r>
        <w:rPr>
          <w:color w:val="000000"/>
          <w:szCs w:val="20"/>
          <w:shd w:val="clear" w:color="auto" w:fill="FFFFFF"/>
        </w:rPr>
        <w:t xml:space="preserve"> do prowadzenia działalności gospodarczej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>W nawiązaniu do powyższego podjęcie przez Radę Miejską niniejszej uchwały jest w pełni uzasadnione.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F906DE25-8574-4CFE-9480-7418ADF65641.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F906DE25-8574-4CFE-9480-7418ADF65641.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części działki nr 325/12 położonej w Rogoźnie w trybie bezprzetargowym</dc:subject>
  <dc:creator>iostrowska</dc:creator>
  <cp:lastModifiedBy>iostrowska</cp:lastModifiedBy>
  <cp:revision>1</cp:revision>
  <dcterms:created xsi:type="dcterms:W3CDTF">2025-03-07T10:18:38Z</dcterms:created>
  <dcterms:modified xsi:type="dcterms:W3CDTF">2025-03-07T10:18:38Z</dcterms:modified>
  <cp:category>Akt prawny</cp:category>
</cp:coreProperties>
</file>