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16 stycznia 2025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Miejskiej w Rogoźnie</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caps w:val="0"/>
          <w:sz w:val="22"/>
        </w:rPr>
        <w:t>z dnia .................... 2025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wyrażenia zgody na dokonanie darowizny działki nr 185, położonej w obrębie ewidencyjnym GARBATKA, stanowiącej własność Gminy Rogoźno na rzecz Skarbu Państwa w trwałym zarządzie Generalnej Dyrekcji Dróg Krajowych i Autostrad</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 18 ust.2 pkt 9 lit. a ustawy z dnia 8 marca 1990 r. o samorządzie gminnym (t.j. Dz.U. 2024 r. poz. 1465 z późn. zm.),  art. 13 ust.2 i 2a w zw. z art.6 pkt 1 ustawy z dnia 21 sierpnia 1997 r. o gospodarce nieruchomościami (t.j. Dz.U. 2024 r. poz. 1145 z późn. zm.), oraz w związku z §4 pkt 3 Uchwały Nr XXV/235/2016 Rady Miejskiej w Rogoźnie z dnia 27 kwietnia 2016 r. w sprawie zasad gospodarowania nieruchomościami Gminy Rogoźno (Dz. Urz. Woj. Wlkp., 2016 r.,  poz.3114 z późn. zm.) Rada Miejska w Rogoźnie uchwala, co następuję:</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Wyraża się zgodę na dokonanie darowizny nieruchomości stanowiącej własność Gminy Rogoźno, położonej w miejscowości Garbatka, gmina Rogoźno, oznaczonej w ewidencji gruntów jako działka nr 185 o pow.0,0300ha (obręb GARBATKA), objętej księgą wieczystą KW PO1O/00019275/7, na rzecz Skarbu Państwa w trwałym zarządzie Generalnej Dyrekcji Dróg Krajowych i Autostrad z przeznaczeniem na cele komunikacyjne.</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Wykonanie uchwały powierza się Burmistrzowi Rogoźna.</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sectPr>
          <w:footerReference w:type="default" r:id="rId4"/>
          <w:endnotePr>
            <w:numFmt w:val="decimal"/>
          </w:endnotePr>
          <w:pgSz w:w="11906" w:h="16838"/>
          <w:pgMar w:top="850" w:right="850" w:bottom="1417" w:left="850" w:header="708" w:footer="708" w:gutter="0"/>
          <w:cols w:space="708"/>
          <w:docGrid w:linePitch="360"/>
        </w:sect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rPr>
        <w:t>Uchwała wchodzi w życie z dniem podjęcia.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Cs w:val="20"/>
          <w:shd w:val="clear" w:color="auto" w:fill="FFFFFF"/>
        </w:rPr>
      </w:pPr>
      <w:r>
        <w:rPr>
          <w:color w:val="000000"/>
          <w:szCs w:val="20"/>
          <w:shd w:val="clear" w:color="auto" w:fill="FFFFFF"/>
          <w:lang w:val="x-none" w:eastAsia="en-US" w:bidi="ar-SA"/>
        </w:rPr>
        <w:tab/>
      </w:r>
      <w:r>
        <w:rPr>
          <w:color w:val="000000"/>
          <w:szCs w:val="20"/>
          <w:shd w:val="clear" w:color="auto" w:fill="FFFFFF"/>
        </w:rPr>
        <w:t>Rada Miejska w § 4 pkt 3 Uchwały Nr XXV/235/2016 Rady Miejskiej w</w:t>
      </w:r>
      <w:r>
        <w:rPr>
          <w:color w:val="000000"/>
          <w:szCs w:val="20"/>
          <w:shd w:val="clear" w:color="auto" w:fill="FFFFFF"/>
        </w:rPr>
        <w:t xml:space="preserve"> </w:t>
      </w:r>
      <w:r>
        <w:rPr>
          <w:color w:val="000000"/>
          <w:szCs w:val="20"/>
          <w:shd w:val="clear" w:color="auto" w:fill="FFFFFF"/>
        </w:rPr>
        <w:t>R</w:t>
      </w:r>
      <w:r>
        <w:rPr>
          <w:color w:val="000000"/>
          <w:szCs w:val="20"/>
          <w:shd w:val="clear" w:color="auto" w:fill="FFFFFF"/>
        </w:rPr>
        <w:t>ogoźnie z dnia 27</w:t>
      </w:r>
      <w:r>
        <w:rPr>
          <w:color w:val="000000"/>
          <w:szCs w:val="20"/>
          <w:shd w:val="clear" w:color="auto" w:fill="FFFFFF"/>
        </w:rPr>
        <w:t> </w:t>
      </w:r>
      <w:r>
        <w:rPr>
          <w:color w:val="000000"/>
          <w:szCs w:val="20"/>
          <w:shd w:val="clear" w:color="auto" w:fill="FFFFFF"/>
        </w:rPr>
        <w:t>kwietnia 2016 r. w sprawie zasad gospodarowania nieruchomościami Gminy Rogoźno, zastrzega do swojej kompetencji sprawy dotyczące przekazania nieruchomości Skarbowi Państwa w drodze darowizny. Zgodnie z treścią art. 13 ust. 2 i 2a ustawy z dnia 21 sierpnia 1997 r. o gospodarce nieruchomościami</w:t>
      </w:r>
      <w:r>
        <w:rPr>
          <w:color w:val="000000"/>
          <w:szCs w:val="20"/>
          <w:shd w:val="clear" w:color="auto" w:fill="FFFFFF"/>
        </w:rPr>
        <w:t>,</w:t>
      </w:r>
      <w:r>
        <w:rPr>
          <w:color w:val="000000"/>
          <w:szCs w:val="20"/>
          <w:shd w:val="clear" w:color="auto" w:fill="FFFFFF"/>
        </w:rPr>
        <w:t xml:space="preserve"> nieruchomość może być  przedmiotem darowizny na cele publiczne, a także przedmiotem darowizny dokonywanej między Skarbem Państwa, a jednostką samorządu terytorialnego, a także między tymi jednostkami. W umowie darowizny określa się cel, na który nieruchomość jest darowana. Darowizny nieruchomości stanowiącej przedmiot własności jednostki samorządu terytorialnego dokonuje organ wykonawczy za zgodą rady albo sejmiku. W przypadku niewykorzystania nieruchomości na cel, na który została darowana lub wykorzystywania nieruchomości na inny cel niż cel, na który została darowana, darowizna podlega odwołaniu, chyba że organ, który wyraził zgodę na dokonanie darowizny, wyrazi zgodę na zmianę warunków umowy darowizny, w tym na zmianę celu, na który nieruchomość została darowana. </w:t>
      </w:r>
    </w:p>
    <w:p>
      <w:pPr>
        <w:keepNext w:val="0"/>
        <w:keepLines w:val="0"/>
        <w:widowControl/>
        <w:suppressLineNumbers w:val="0"/>
        <w:shd w:val="clear" w:color="auto" w:fill="auto"/>
        <w:suppressAutoHyphens w:val="0"/>
        <w:spacing w:before="0" w:beforeAutospacing="0" w:after="0" w:afterAutospacing="0" w:line="360" w:lineRule="auto"/>
        <w:ind w:left="0" w:right="0" w:firstLine="720"/>
        <w:contextualSpacing w:val="0"/>
        <w:rPr>
          <w:color w:val="000000"/>
          <w:szCs w:val="20"/>
          <w:shd w:val="clear" w:color="auto" w:fill="FFFFFF"/>
        </w:rPr>
      </w:pPr>
      <w:r>
        <w:rPr>
          <w:color w:val="000000"/>
          <w:szCs w:val="20"/>
          <w:shd w:val="clear" w:color="auto" w:fill="FFFFFF"/>
        </w:rPr>
        <w:t>Gmina Rogoźna nabyła działkę nr 185 (obręb GARBATKA) w oparciu o ostateczną decyzję Wojewody Pilskiego nr G.IV.7224 KMP/I-3416/93 z dnia 2 listopada 1993 r. w związku z art. 5 ust. 1 pkt 1 ustawy z dnia 10 maja 1990 r. - Przepisy wprowadzające ustawę o samorządzie terytorialnym i ustawę o pracownikach samorządowych, tj. komunalizacja mienia Skarbu Państwa. W świetle ww. art. 5 ust. 1 pkt 1 mienie ogólnonarodowe należące do rad narodowych i terenowych organów administracji państwowej stopnia podstawowego, stało się w dniu wejścia w życie ustawy, tj. w dniu 27 maja 1990 r., z mocy prawa mieniem właściwych gmin.  Ww</w:t>
      </w:r>
      <w:r>
        <w:rPr>
          <w:color w:val="000000"/>
          <w:szCs w:val="20"/>
          <w:shd w:val="clear" w:color="auto" w:fill="FFFFFF"/>
        </w:rPr>
        <w:t>.</w:t>
      </w:r>
      <w:r>
        <w:rPr>
          <w:color w:val="000000"/>
          <w:szCs w:val="20"/>
          <w:shd w:val="clear" w:color="auto" w:fill="FFFFFF"/>
        </w:rPr>
        <w:t xml:space="preserve"> decyzja Wojewody Pilskiego została wydana z naruszeniem prawa, co zostało potwierdzone decyzją Ministra Spraw Wewnętrznych i Administracji o sygn. DAP-WPK.727.1.87.2021/ICh z dnia 15 października 2024 r. Działka nr 185 w dniu ustawowej komunalizacji, tj. 27 maja 1990 r. była zajęta pod drogę krajową  (obecnie DK 11), a więc wyłączona była spod komunalizacji.        </w:t>
      </w:r>
    </w:p>
    <w:p>
      <w:pPr>
        <w:keepNext w:val="0"/>
        <w:keepLines w:val="0"/>
        <w:widowControl/>
        <w:suppressLineNumbers w:val="0"/>
        <w:shd w:val="clear" w:color="auto" w:fill="auto"/>
        <w:suppressAutoHyphens w:val="0"/>
        <w:spacing w:before="0" w:beforeAutospacing="0" w:after="0" w:afterAutospacing="0" w:line="360" w:lineRule="auto"/>
        <w:ind w:left="0" w:right="0" w:firstLine="720"/>
        <w:contextualSpacing w:val="0"/>
        <w:rPr>
          <w:color w:val="000000"/>
          <w:szCs w:val="20"/>
          <w:shd w:val="clear" w:color="auto" w:fill="FFFFFF"/>
          <w:lang w:val="x-none" w:eastAsia="en-US" w:bidi="ar-SA"/>
        </w:rPr>
      </w:pPr>
      <w:r>
        <w:rPr>
          <w:color w:val="000000"/>
          <w:szCs w:val="20"/>
          <w:shd w:val="clear" w:color="auto" w:fill="FFFFFF"/>
        </w:rPr>
        <w:t xml:space="preserve">Z uwagi na fakt, iż od dnia ostateczności ww. decyzji Wojewody Pilskiego, tj. 17 listopada 1993 r. upłynął dziesięcioletni okres wskazany w art. 156 §2 Kpa nie można stwierdzić jej nieważności, wobec powyższego podjęcie przedmiotowej uchwały jest w pełni uzasadnione.  </w:t>
      </w: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1875E1CE-4DB2-4264-8D2A-360ADE23B58F.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1875E1CE-4DB2-4264-8D2A-360ADE23B58F. Projekt</w:t>
          </w:r>
        </w:p>
      </w:tc>
      <w:tc>
        <w:tcPr>
          <w:tcW w:w="32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Rogoźnie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dokonanie darowizny działki nr 185, położonej w obrębie ewidencyjnym GARBATKA, stanowiącej własność Gminy Rogoźno na rzecz Skarbu Państwa w trwałym zarządzie Generalnej Dyrekcji Dróg Krajowych i Autostrad</dc:subject>
  <dc:creator>molederek</dc:creator>
  <cp:lastModifiedBy>molederek</cp:lastModifiedBy>
  <cp:revision>1</cp:revision>
  <dcterms:created xsi:type="dcterms:W3CDTF">2025-01-16T12:08:40Z</dcterms:created>
  <dcterms:modified xsi:type="dcterms:W3CDTF">2025-01-16T12:08:40Z</dcterms:modified>
  <cp:category>Akt prawny</cp:category>
</cp:coreProperties>
</file>