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D4E" w:rsidRPr="00C34D4E" w:rsidRDefault="00C34D4E" w:rsidP="00C34D4E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32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C34D4E">
        <w:rPr>
          <w:rFonts w:ascii="Arial" w:hAnsi="Arial" w:cs="Arial"/>
          <w:b/>
          <w:bCs/>
          <w:sz w:val="28"/>
          <w:szCs w:val="28"/>
        </w:rPr>
        <w:t>Objaśnienia przyjętych wartości do Wieloletniej Prognozy Finansowej Gminy Rogoźno na lata 2024-2040</w:t>
      </w:r>
    </w:p>
    <w:p w:rsid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Zgodnie ze zmianami w budżecie na dzień 16 grudnia 2024 r., dokonano następujących zmian w Wieloletniej Prognozie Finansowej Gminy Rogoźno:</w:t>
      </w:r>
    </w:p>
    <w:p w:rsidR="00C34D4E" w:rsidRPr="00C34D4E" w:rsidRDefault="00C34D4E" w:rsidP="00C34D4E">
      <w:pPr>
        <w:numPr>
          <w:ilvl w:val="0"/>
          <w:numId w:val="1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Dochody ogółem zmniejszono o 5 261 284,44 zł, z czego dochody bieżące zwiększono o 476 838,58 zł, a dochody majątkowe zmniejszono o 5 738 123,02 zł.</w:t>
      </w:r>
    </w:p>
    <w:p w:rsidR="00C34D4E" w:rsidRPr="00C34D4E" w:rsidRDefault="00C34D4E" w:rsidP="00C34D4E">
      <w:pPr>
        <w:numPr>
          <w:ilvl w:val="0"/>
          <w:numId w:val="1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Wydatki ogółem zmniejszono o 5 275 270,22 zł, z czego wydatki bieżące zwiększono o 807 812,01 zł, a wydatki majątkowe zmniejszono o 6 083 082,23 zł.</w:t>
      </w:r>
    </w:p>
    <w:p w:rsidR="00C34D4E" w:rsidRPr="00C34D4E" w:rsidRDefault="00C34D4E" w:rsidP="00C34D4E">
      <w:pPr>
        <w:numPr>
          <w:ilvl w:val="0"/>
          <w:numId w:val="1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Wynik budżetu jest deficytowy i po zmianach wynosi -5 893 073,58 zł.</w:t>
      </w:r>
    </w:p>
    <w:p w:rsid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Szczegółowe informacje na temat zmian w zakresie dochodów, wydatków i wyniku budżetu w roku budżetowym przedstawiono w tabeli poniżej.</w:t>
      </w:r>
    </w:p>
    <w:p w:rsidR="00C34D4E" w:rsidRPr="00C34D4E" w:rsidRDefault="00C34D4E" w:rsidP="00C34D4E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34D4E">
        <w:rPr>
          <w:rFonts w:ascii="Arial" w:hAnsi="Arial" w:cs="Arial"/>
          <w:b/>
          <w:bCs/>
          <w:sz w:val="20"/>
          <w:szCs w:val="20"/>
        </w:rPr>
        <w:t>Tabela 1. Zmiany w dochodach i wydatkach w 2024 roku</w:t>
      </w:r>
    </w:p>
    <w:tbl>
      <w:tblPr>
        <w:tblW w:w="0" w:type="auto"/>
        <w:tblInd w:w="68" w:type="dxa"/>
        <w:tblLayout w:type="fixed"/>
        <w:tblCellMar>
          <w:top w:w="19" w:type="dxa"/>
          <w:left w:w="68" w:type="dxa"/>
          <w:bottom w:w="19" w:type="dxa"/>
          <w:right w:w="68" w:type="dxa"/>
        </w:tblCellMar>
        <w:tblLook w:val="0000" w:firstRow="0" w:lastRow="0" w:firstColumn="0" w:lastColumn="0" w:noHBand="0" w:noVBand="0"/>
      </w:tblPr>
      <w:tblGrid>
        <w:gridCol w:w="2268"/>
        <w:gridCol w:w="2268"/>
        <w:gridCol w:w="2268"/>
        <w:gridCol w:w="2268"/>
      </w:tblGrid>
      <w:tr w:rsidR="00C34D4E" w:rsidRPr="00C34D4E">
        <w:trPr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Przed zmianą [zł]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Zmiana [zł]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Po zmianie [zł]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Dochody ogółem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145 279 929,83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-5 261 284,44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140 018 645,39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Dochody bieżące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108 322 307,13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+476 838,58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108 799 145,71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Dotacje bieżące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22 248 122,91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+138 457,80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22 386 580,71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Pozostałe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30 408 054,22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+338 380,78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30 746 435,00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Dochody majątkowe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36 957 622,70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-5 738 123,02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31 219 499,68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Wydatki ogółem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151 186 989,19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-5 275 270,22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145 911 718,97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Wydatki bieżące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109 338 963,54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+807 812,01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110 146 775,55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Wynagrodzenia i pochodne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49 315 453,19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+653 030,77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49 968 483,96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Pozostałe wydatki bieżące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58 519 150,35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+154 781,24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58 673 931,59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Wydatki majątkowe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41 848 025,65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-6 083 082,23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35 764 943,42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Wynik budżetu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-5 907 059,36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+13 985,78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-5 893 073,58</w:t>
            </w:r>
          </w:p>
        </w:tc>
      </w:tr>
    </w:tbl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Źródło: opracowanie własne.</w:t>
      </w: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W okresie prognozy WPF dokonano zmian w zakresie planowanych dochodów bieżących. Zmiany przedstawiono w tabeli poniżej.</w:t>
      </w: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W Wieloletniej Prognozie Finansowej Gminy Rogoźno:</w:t>
      </w:r>
    </w:p>
    <w:p w:rsidR="00C34D4E" w:rsidRPr="00C34D4E" w:rsidRDefault="00C34D4E" w:rsidP="00C34D4E">
      <w:pPr>
        <w:numPr>
          <w:ilvl w:val="0"/>
          <w:numId w:val="2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Przychody ogółem w roku budżetowym zmniejszono o 13 985,78 zł i po zmianach wynoszą 7 690 073,58 zł.</w:t>
      </w:r>
    </w:p>
    <w:p w:rsidR="00C34D4E" w:rsidRPr="00C34D4E" w:rsidRDefault="00C34D4E" w:rsidP="00C34D4E">
      <w:pPr>
        <w:numPr>
          <w:ilvl w:val="0"/>
          <w:numId w:val="2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Rozchody ogółem w roku budżetowym nie uległy zmianie.</w:t>
      </w: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Szczegółowe informacje na temat zmian w zakresie przychodów i rozchodów w roku budżetowym przedstawiono w tabeli poniżej.</w:t>
      </w:r>
    </w:p>
    <w:p w:rsidR="00C34D4E" w:rsidRPr="00C34D4E" w:rsidRDefault="00C34D4E" w:rsidP="00C34D4E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34D4E">
        <w:rPr>
          <w:rFonts w:ascii="Arial" w:hAnsi="Arial" w:cs="Arial"/>
          <w:b/>
          <w:bCs/>
          <w:sz w:val="20"/>
          <w:szCs w:val="20"/>
        </w:rPr>
        <w:t>Tabela 2. Zmiany w przychodach i rozchodach na 2024 rok.</w:t>
      </w:r>
    </w:p>
    <w:tbl>
      <w:tblPr>
        <w:tblW w:w="0" w:type="auto"/>
        <w:tblInd w:w="68" w:type="dxa"/>
        <w:tblLayout w:type="fixed"/>
        <w:tblCellMar>
          <w:top w:w="19" w:type="dxa"/>
          <w:left w:w="68" w:type="dxa"/>
          <w:bottom w:w="19" w:type="dxa"/>
          <w:right w:w="68" w:type="dxa"/>
        </w:tblCellMar>
        <w:tblLook w:val="0000" w:firstRow="0" w:lastRow="0" w:firstColumn="0" w:lastColumn="0" w:noHBand="0" w:noVBand="0"/>
      </w:tblPr>
      <w:tblGrid>
        <w:gridCol w:w="2268"/>
        <w:gridCol w:w="2268"/>
        <w:gridCol w:w="2268"/>
        <w:gridCol w:w="2268"/>
      </w:tblGrid>
      <w:tr w:rsidR="00C34D4E" w:rsidRPr="00C34D4E">
        <w:trPr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Przed zmianą [zł]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Zmiana [zł]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Po zmianie [zł]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Przychody budżetu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7 704 059,36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-13 985,78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7 690 073,58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Nadwyżka budżetowa z lat ubiegłych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6 033 239,41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-58 011,78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5 975 227,63</w:t>
            </w:r>
          </w:p>
        </w:tc>
      </w:tr>
      <w:tr w:rsidR="00C34D4E" w:rsidRPr="00C34D4E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Wolne środki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972 565,15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+44 026,00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1 016 591,15</w:t>
            </w:r>
          </w:p>
        </w:tc>
      </w:tr>
    </w:tbl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Źródło: opracowanie własne.</w:t>
      </w: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lastRenderedPageBreak/>
        <w:t>Od 2025 nie dokonywano zmian w zakresie planowanych przychodów.</w:t>
      </w: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Od 2025 nie dokonywano zmian w zakresie planowanych rozchodów.</w:t>
      </w: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W zakresie zawartych umów, rozchody Gminy Rogoźno zaplanowano zgodnie z harmonogramami. W tabeli poniżej spłatę ww. zobowiązań przedstawiono w kolumnie „Zobowiązanie historyczne”.</w:t>
      </w: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Spłatę zobowiązania planowanego do zaciągnięcia ujęto w latach 2025-2029. W tabeli poniżej spłatę ww. zobowiązań przedstawiono w kolumnie „Zobowiązanie planowane”.</w:t>
      </w:r>
    </w:p>
    <w:p w:rsidR="00C34D4E" w:rsidRPr="00C34D4E" w:rsidRDefault="00C34D4E" w:rsidP="00C34D4E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34D4E">
        <w:rPr>
          <w:rFonts w:ascii="Arial" w:hAnsi="Arial" w:cs="Arial"/>
          <w:b/>
          <w:bCs/>
          <w:sz w:val="20"/>
          <w:szCs w:val="20"/>
        </w:rPr>
        <w:t>Tabela 3. Spłata zaciągniętych i planowanych zobowiązań Gminy Rogoźno</w:t>
      </w:r>
    </w:p>
    <w:tbl>
      <w:tblPr>
        <w:tblW w:w="0" w:type="auto"/>
        <w:tblInd w:w="68" w:type="dxa"/>
        <w:tblLayout w:type="fixed"/>
        <w:tblCellMar>
          <w:top w:w="19" w:type="dxa"/>
          <w:left w:w="68" w:type="dxa"/>
          <w:bottom w:w="19" w:type="dxa"/>
          <w:right w:w="68" w:type="dxa"/>
        </w:tblCellMar>
        <w:tblLook w:val="0000" w:firstRow="0" w:lastRow="0" w:firstColumn="0" w:lastColumn="0" w:noHBand="0" w:noVBand="0"/>
      </w:tblPr>
      <w:tblGrid>
        <w:gridCol w:w="1296"/>
        <w:gridCol w:w="2592"/>
        <w:gridCol w:w="2592"/>
        <w:gridCol w:w="2592"/>
      </w:tblGrid>
      <w:tr w:rsidR="00C34D4E" w:rsidRPr="00C34D4E">
        <w:trPr>
          <w:tblHeader/>
        </w:trPr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Rok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Zobowiązanie historyczne [zł]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Zobowiązanie planowane [zł]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Zobowiązania razem [zł]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2024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1 797 000,00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1 797 000,00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2025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1 683 601,24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98 254,80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1 781 856,04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2026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1 772 000,00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1 782 000,00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2027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1 770 170,71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110 000,00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1 880 170,71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2028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899 999,40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240 000,00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1 139 999,40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2029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1 700 000,00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240 000,00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1 940 000,00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1 700 000,00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1 700 000,00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2031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1 700 000,00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1 700 000,00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2032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1 656 000,00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1 656 000,00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2033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1 650 000,00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1 650 000,00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2034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1 650 000,00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1 650 000,00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2035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1 200 000,00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1 200 000,00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2036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1 200 000,00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1 200 000,00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2037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1 200 000,00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1 200 000,00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2038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1 400 000,00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1 400 000,00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2039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1 500 000,00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1 500 000,00</w:t>
            </w:r>
          </w:p>
        </w:tc>
      </w:tr>
      <w:tr w:rsidR="00C34D4E" w:rsidRPr="00C34D4E"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2040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1 500 000,00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0,00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1 500 000,00</w:t>
            </w:r>
          </w:p>
        </w:tc>
      </w:tr>
    </w:tbl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Źródło: Opracowanie własne.</w:t>
      </w: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Zmiany w Wieloletniej Prognozie Finansowej Gminy Rogoźno na lata 2024-2040 spowodowały modyfikacje w kształtowaniu się relacji z art. 243 ustawy o finansach publicznych. Szczegóły zaprezentowano w tabeli poniżej.</w:t>
      </w:r>
    </w:p>
    <w:p w:rsidR="00C34D4E" w:rsidRPr="00C34D4E" w:rsidRDefault="00C34D4E" w:rsidP="00C34D4E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34D4E">
        <w:rPr>
          <w:rFonts w:ascii="Arial" w:hAnsi="Arial" w:cs="Arial"/>
          <w:b/>
          <w:bCs/>
          <w:sz w:val="20"/>
          <w:szCs w:val="20"/>
        </w:rPr>
        <w:t>Tabela 4. Kształtowanie się relacji z art. 243 ust. 1 ustawy o finansach publicznych</w:t>
      </w:r>
    </w:p>
    <w:tbl>
      <w:tblPr>
        <w:tblW w:w="0" w:type="auto"/>
        <w:tblInd w:w="68" w:type="dxa"/>
        <w:tblLayout w:type="fixed"/>
        <w:tblCellMar>
          <w:top w:w="19" w:type="dxa"/>
          <w:left w:w="68" w:type="dxa"/>
          <w:bottom w:w="19" w:type="dxa"/>
          <w:right w:w="68" w:type="dxa"/>
        </w:tblCellMar>
        <w:tblLook w:val="0000" w:firstRow="0" w:lastRow="0" w:firstColumn="0" w:lastColumn="0" w:noHBand="0" w:noVBand="0"/>
      </w:tblPr>
      <w:tblGrid>
        <w:gridCol w:w="825"/>
        <w:gridCol w:w="1649"/>
        <w:gridCol w:w="1650"/>
        <w:gridCol w:w="1649"/>
        <w:gridCol w:w="1650"/>
        <w:gridCol w:w="1649"/>
      </w:tblGrid>
      <w:tr w:rsidR="00C34D4E" w:rsidRPr="00C34D4E">
        <w:trPr>
          <w:tblHeader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Rok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Obsługa zadłużenia (fakt. i plan. po </w:t>
            </w:r>
            <w:proofErr w:type="spellStart"/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wyłączeniach</w:t>
            </w:r>
            <w:proofErr w:type="spellEnd"/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Maksymalna obsługa zadłużenia (wg planu po III kwartale)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Zachowanie relacji z art. 243 (w oparciu o plan po III kwartale)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Maksymalna obsługa zadłużenia (wg wykonania)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4D4E">
              <w:rPr>
                <w:rFonts w:ascii="Arial" w:hAnsi="Arial" w:cs="Arial"/>
                <w:b/>
                <w:bCs/>
                <w:sz w:val="20"/>
                <w:szCs w:val="20"/>
              </w:rPr>
              <w:t>Zachowanie relacji z art. 243 (w oparciu o wykonanie)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2024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3,82%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7,49%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7,61%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2025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3,48%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6,66%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6,79%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2026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3,09%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2,94%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NIE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3,11%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3,10%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3,01%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NIE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3,18%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2028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2,12%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3,58%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3,76%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2029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2,88%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3,21%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3,39%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2030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2,48%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3,48%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3,65%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2031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2,35%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4,61%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4,61%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2032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2,18%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5,41%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5,41%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2033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2,06%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5,37%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5,37%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2034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1,95%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5,29%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5,29%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2035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1,42%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5,24%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5,24%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lastRenderedPageBreak/>
              <w:t>2036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1,35%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5,13%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5,13%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2037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1,28%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4,97%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4,97%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2038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1,39%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4,76%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4,76%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2039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1,40%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4,48%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4,48%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  <w:tr w:rsidR="00C34D4E" w:rsidRPr="00C34D4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2040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1,32%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4,15%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4,15%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D4E" w:rsidRPr="00C34D4E" w:rsidRDefault="00C34D4E" w:rsidP="00C34D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D4E">
              <w:rPr>
                <w:rFonts w:ascii="Arial" w:hAnsi="Arial" w:cs="Arial"/>
                <w:sz w:val="20"/>
                <w:szCs w:val="20"/>
              </w:rPr>
              <w:t>TAK</w:t>
            </w:r>
          </w:p>
        </w:tc>
      </w:tr>
    </w:tbl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Źródło: Opracowanie własne.</w:t>
      </w: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 xml:space="preserve">W latach 2026-2027 relacja z art. 243 ustawy o finansach publicznych liczona w oparciu o plan III kwartału 2023 jest przekroczona, natomiast relacja liczona w oparciu o faktyczne wykonanie roku 2023 jest spełniona, a zgodnie z zapisami art. 243 ust. 2 pkt 4 </w:t>
      </w:r>
      <w:proofErr w:type="spellStart"/>
      <w:r w:rsidRPr="00C34D4E">
        <w:rPr>
          <w:rFonts w:ascii="Arial" w:hAnsi="Arial" w:cs="Arial"/>
          <w:sz w:val="20"/>
          <w:szCs w:val="20"/>
        </w:rPr>
        <w:t>uofp</w:t>
      </w:r>
      <w:proofErr w:type="spellEnd"/>
      <w:r w:rsidRPr="00C34D4E">
        <w:rPr>
          <w:rFonts w:ascii="Arial" w:hAnsi="Arial" w:cs="Arial"/>
          <w:sz w:val="20"/>
          <w:szCs w:val="20"/>
        </w:rPr>
        <w:t>: „dla roku poprzedzającego rok budżetowy, na który ustalana jest relacja, przyjmuje się planowane wartości wykazane w sprawozdaniu za trzy kwartały z wykonania budżetu jednostki samorządu terytorialnego, a po sporządzeniu sprawozdań rocznych - wartości wykonane za ten rok[…]”.</w:t>
      </w: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Wartości wykazane w pozostałych pozycjach WPF, stanowią informacje uzupełniające względem pozycji opisanych powyżej. Zostały przedstawione w WPF zgodnie z obowiązującym stanem faktycznym, na podstawie zawartych umów i porozumień.</w:t>
      </w:r>
    </w:p>
    <w:p w:rsidR="00C34D4E" w:rsidRPr="00C34D4E" w:rsidRDefault="00C34D4E" w:rsidP="00C34D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jc w:val="both"/>
        <w:rPr>
          <w:rFonts w:ascii="Arial" w:hAnsi="Arial" w:cs="Arial"/>
          <w:sz w:val="20"/>
          <w:szCs w:val="20"/>
        </w:rPr>
      </w:pPr>
      <w:r w:rsidRPr="00C34D4E">
        <w:rPr>
          <w:rFonts w:ascii="Arial" w:hAnsi="Arial" w:cs="Arial"/>
          <w:sz w:val="20"/>
          <w:szCs w:val="20"/>
        </w:rPr>
        <w:t>Pełen zakres zmian obrazuje załącznik nr 1 do niniejszej uchwały.</w:t>
      </w:r>
    </w:p>
    <w:p w:rsidR="00C34D4E" w:rsidRPr="00C34D4E" w:rsidRDefault="00C34D4E" w:rsidP="00C34D4E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160" w:line="240" w:lineRule="auto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142AFC" w:rsidRDefault="00C34D4E"/>
    <w:sectPr w:rsidR="00142AFC" w:rsidSect="00133268">
      <w:pgSz w:w="11906" w:h="16838"/>
      <w:pgMar w:top="1440" w:right="1800" w:bottom="1440" w:left="1800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ind w:left="70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1">
      <w:start w:val="1"/>
      <w:numFmt w:val="decimal"/>
      <w:lvlText w:val="%2."/>
      <w:lvlJc w:val="left"/>
      <w:pPr>
        <w:ind w:left="106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2">
      <w:start w:val="1"/>
      <w:numFmt w:val="decimal"/>
      <w:lvlText w:val="%3."/>
      <w:lvlJc w:val="left"/>
      <w:pPr>
        <w:ind w:left="142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3">
      <w:start w:val="1"/>
      <w:numFmt w:val="decimal"/>
      <w:lvlText w:val="%4."/>
      <w:lvlJc w:val="left"/>
      <w:pPr>
        <w:ind w:left="178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4">
      <w:start w:val="1"/>
      <w:numFmt w:val="decimal"/>
      <w:lvlText w:val="%5."/>
      <w:lvlJc w:val="left"/>
      <w:pPr>
        <w:ind w:left="214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5">
      <w:start w:val="1"/>
      <w:numFmt w:val="decimal"/>
      <w:lvlText w:val="%6."/>
      <w:lvlJc w:val="left"/>
      <w:pPr>
        <w:ind w:left="250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6">
      <w:start w:val="1"/>
      <w:numFmt w:val="decimal"/>
      <w:lvlText w:val="%7."/>
      <w:lvlJc w:val="left"/>
      <w:pPr>
        <w:ind w:left="286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7">
      <w:start w:val="1"/>
      <w:numFmt w:val="decimal"/>
      <w:lvlText w:val="%8."/>
      <w:lvlJc w:val="left"/>
      <w:pPr>
        <w:ind w:left="322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8">
      <w:start w:val="1"/>
      <w:numFmt w:val="decimal"/>
      <w:lvlText w:val="%9."/>
      <w:lvlJc w:val="left"/>
      <w:pPr>
        <w:ind w:left="358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ind w:left="70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1">
      <w:start w:val="1"/>
      <w:numFmt w:val="decimal"/>
      <w:lvlText w:val="%2."/>
      <w:lvlJc w:val="left"/>
      <w:pPr>
        <w:ind w:left="106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2">
      <w:start w:val="1"/>
      <w:numFmt w:val="decimal"/>
      <w:lvlText w:val="%3."/>
      <w:lvlJc w:val="left"/>
      <w:pPr>
        <w:ind w:left="142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3">
      <w:start w:val="1"/>
      <w:numFmt w:val="decimal"/>
      <w:lvlText w:val="%4."/>
      <w:lvlJc w:val="left"/>
      <w:pPr>
        <w:ind w:left="178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4">
      <w:start w:val="1"/>
      <w:numFmt w:val="decimal"/>
      <w:lvlText w:val="%5."/>
      <w:lvlJc w:val="left"/>
      <w:pPr>
        <w:ind w:left="214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5">
      <w:start w:val="1"/>
      <w:numFmt w:val="decimal"/>
      <w:lvlText w:val="%6."/>
      <w:lvlJc w:val="left"/>
      <w:pPr>
        <w:ind w:left="250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6">
      <w:start w:val="1"/>
      <w:numFmt w:val="decimal"/>
      <w:lvlText w:val="%7."/>
      <w:lvlJc w:val="left"/>
      <w:pPr>
        <w:ind w:left="286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7">
      <w:start w:val="1"/>
      <w:numFmt w:val="decimal"/>
      <w:lvlText w:val="%8."/>
      <w:lvlJc w:val="left"/>
      <w:pPr>
        <w:ind w:left="322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8">
      <w:start w:val="1"/>
      <w:numFmt w:val="decimal"/>
      <w:lvlText w:val="%9."/>
      <w:lvlJc w:val="left"/>
      <w:pPr>
        <w:ind w:left="3589" w:hanging="425"/>
      </w:pPr>
      <w:rPr>
        <w:rFonts w:ascii="Arial" w:hAnsi="Arial" w:cs="Arial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DF2"/>
    <w:rsid w:val="00073968"/>
    <w:rsid w:val="00554DF2"/>
    <w:rsid w:val="00854BC0"/>
    <w:rsid w:val="00C34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ytuPublink">
    <w:name w:val="Tytuł (Publink)"/>
    <w:basedOn w:val="Normalny"/>
    <w:uiPriority w:val="99"/>
    <w:rsid w:val="00C34D4E"/>
    <w:pPr>
      <w:widowControl w:val="0"/>
      <w:autoSpaceDE w:val="0"/>
      <w:autoSpaceDN w:val="0"/>
      <w:adjustRightInd w:val="0"/>
      <w:spacing w:before="160" w:after="320" w:line="240" w:lineRule="auto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TekstPublink">
    <w:name w:val="Tekst (Publink)"/>
    <w:basedOn w:val="Normalny"/>
    <w:uiPriority w:val="99"/>
    <w:rsid w:val="00C34D4E"/>
    <w:pPr>
      <w:widowControl w:val="0"/>
      <w:autoSpaceDE w:val="0"/>
      <w:autoSpaceDN w:val="0"/>
      <w:adjustRightInd w:val="0"/>
      <w:spacing w:after="160" w:line="240" w:lineRule="auto"/>
      <w:jc w:val="both"/>
    </w:pPr>
    <w:rPr>
      <w:rFonts w:ascii="Arial" w:hAnsi="Arial" w:cs="Arial"/>
      <w:sz w:val="20"/>
      <w:szCs w:val="20"/>
    </w:rPr>
  </w:style>
  <w:style w:type="paragraph" w:customStyle="1" w:styleId="ListaPublink">
    <w:name w:val="Lista (Publink)"/>
    <w:basedOn w:val="TekstPublink"/>
    <w:uiPriority w:val="99"/>
    <w:rsid w:val="00C34D4E"/>
    <w:pPr>
      <w:spacing w:after="0"/>
      <w:jc w:val="left"/>
    </w:pPr>
  </w:style>
  <w:style w:type="paragraph" w:customStyle="1" w:styleId="PodpistabeliPublink">
    <w:name w:val="Podpis tabeli (Publink)"/>
    <w:basedOn w:val="TekstPublink"/>
    <w:uiPriority w:val="99"/>
    <w:rsid w:val="00C34D4E"/>
    <w:pPr>
      <w:spacing w:before="160" w:after="0"/>
      <w:jc w:val="left"/>
    </w:pPr>
    <w:rPr>
      <w:b/>
      <w:bCs/>
    </w:rPr>
  </w:style>
  <w:style w:type="paragraph" w:customStyle="1" w:styleId="NagwektabeliPublink">
    <w:name w:val="Nagłówek tabeli (Publink)"/>
    <w:basedOn w:val="TekstPublink"/>
    <w:uiPriority w:val="99"/>
    <w:rsid w:val="00C34D4E"/>
    <w:pPr>
      <w:spacing w:after="0"/>
      <w:jc w:val="left"/>
    </w:pPr>
    <w:rPr>
      <w:b/>
      <w:bCs/>
    </w:rPr>
  </w:style>
  <w:style w:type="paragraph" w:customStyle="1" w:styleId="KomrkatabeliPublink">
    <w:name w:val="Komórka tabeli (Publink)"/>
    <w:basedOn w:val="TekstPublink"/>
    <w:uiPriority w:val="99"/>
    <w:rsid w:val="00C34D4E"/>
    <w:pPr>
      <w:spacing w:after="0"/>
      <w:jc w:val="left"/>
    </w:pPr>
  </w:style>
  <w:style w:type="paragraph" w:customStyle="1" w:styleId="WyrnionakomrkatabeliPublink">
    <w:name w:val="Wyróżniona komórka tabeli (Publink)"/>
    <w:basedOn w:val="KomrkatabeliPublink"/>
    <w:uiPriority w:val="99"/>
    <w:rsid w:val="00C34D4E"/>
    <w:rPr>
      <w:b/>
      <w:bCs/>
    </w:rPr>
  </w:style>
  <w:style w:type="paragraph" w:customStyle="1" w:styleId="Podpistabeli2Publink">
    <w:name w:val="Podpis tabeli 2 (Publink)"/>
    <w:basedOn w:val="TekstPublink"/>
    <w:uiPriority w:val="99"/>
    <w:rsid w:val="00C34D4E"/>
    <w:pPr>
      <w:spacing w:after="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ytuPublink">
    <w:name w:val="Tytuł (Publink)"/>
    <w:basedOn w:val="Normalny"/>
    <w:uiPriority w:val="99"/>
    <w:rsid w:val="00C34D4E"/>
    <w:pPr>
      <w:widowControl w:val="0"/>
      <w:autoSpaceDE w:val="0"/>
      <w:autoSpaceDN w:val="0"/>
      <w:adjustRightInd w:val="0"/>
      <w:spacing w:before="160" w:after="320" w:line="240" w:lineRule="auto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TekstPublink">
    <w:name w:val="Tekst (Publink)"/>
    <w:basedOn w:val="Normalny"/>
    <w:uiPriority w:val="99"/>
    <w:rsid w:val="00C34D4E"/>
    <w:pPr>
      <w:widowControl w:val="0"/>
      <w:autoSpaceDE w:val="0"/>
      <w:autoSpaceDN w:val="0"/>
      <w:adjustRightInd w:val="0"/>
      <w:spacing w:after="160" w:line="240" w:lineRule="auto"/>
      <w:jc w:val="both"/>
    </w:pPr>
    <w:rPr>
      <w:rFonts w:ascii="Arial" w:hAnsi="Arial" w:cs="Arial"/>
      <w:sz w:val="20"/>
      <w:szCs w:val="20"/>
    </w:rPr>
  </w:style>
  <w:style w:type="paragraph" w:customStyle="1" w:styleId="ListaPublink">
    <w:name w:val="Lista (Publink)"/>
    <w:basedOn w:val="TekstPublink"/>
    <w:uiPriority w:val="99"/>
    <w:rsid w:val="00C34D4E"/>
    <w:pPr>
      <w:spacing w:after="0"/>
      <w:jc w:val="left"/>
    </w:pPr>
  </w:style>
  <w:style w:type="paragraph" w:customStyle="1" w:styleId="PodpistabeliPublink">
    <w:name w:val="Podpis tabeli (Publink)"/>
    <w:basedOn w:val="TekstPublink"/>
    <w:uiPriority w:val="99"/>
    <w:rsid w:val="00C34D4E"/>
    <w:pPr>
      <w:spacing w:before="160" w:after="0"/>
      <w:jc w:val="left"/>
    </w:pPr>
    <w:rPr>
      <w:b/>
      <w:bCs/>
    </w:rPr>
  </w:style>
  <w:style w:type="paragraph" w:customStyle="1" w:styleId="NagwektabeliPublink">
    <w:name w:val="Nagłówek tabeli (Publink)"/>
    <w:basedOn w:val="TekstPublink"/>
    <w:uiPriority w:val="99"/>
    <w:rsid w:val="00C34D4E"/>
    <w:pPr>
      <w:spacing w:after="0"/>
      <w:jc w:val="left"/>
    </w:pPr>
    <w:rPr>
      <w:b/>
      <w:bCs/>
    </w:rPr>
  </w:style>
  <w:style w:type="paragraph" w:customStyle="1" w:styleId="KomrkatabeliPublink">
    <w:name w:val="Komórka tabeli (Publink)"/>
    <w:basedOn w:val="TekstPublink"/>
    <w:uiPriority w:val="99"/>
    <w:rsid w:val="00C34D4E"/>
    <w:pPr>
      <w:spacing w:after="0"/>
      <w:jc w:val="left"/>
    </w:pPr>
  </w:style>
  <w:style w:type="paragraph" w:customStyle="1" w:styleId="WyrnionakomrkatabeliPublink">
    <w:name w:val="Wyróżniona komórka tabeli (Publink)"/>
    <w:basedOn w:val="KomrkatabeliPublink"/>
    <w:uiPriority w:val="99"/>
    <w:rsid w:val="00C34D4E"/>
    <w:rPr>
      <w:b/>
      <w:bCs/>
    </w:rPr>
  </w:style>
  <w:style w:type="paragraph" w:customStyle="1" w:styleId="Podpistabeli2Publink">
    <w:name w:val="Podpis tabeli 2 (Publink)"/>
    <w:basedOn w:val="TekstPublink"/>
    <w:uiPriority w:val="99"/>
    <w:rsid w:val="00C34D4E"/>
    <w:pPr>
      <w:spacing w:after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802</Words>
  <Characters>4814</Characters>
  <Application>Microsoft Office Word</Application>
  <DocSecurity>0</DocSecurity>
  <Lines>40</Lines>
  <Paragraphs>11</Paragraphs>
  <ScaleCrop>false</ScaleCrop>
  <Company/>
  <LinksUpToDate>false</LinksUpToDate>
  <CharactersWithSpaces>5605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B02-Skarbnik</dc:creator>
  <cp:keywords/>
  <dc:description/>
  <cp:lastModifiedBy>B02-Skarbnik</cp:lastModifiedBy>
  <cp:revision>2</cp:revision>
  <dcterms:created xsi:type="dcterms:W3CDTF">2024-12-15T21:35:00Z</dcterms:created>
  <dcterms:modified xsi:type="dcterms:W3CDTF">2024-12-15T21:37:00Z</dcterms:modified>
</cp:coreProperties>
</file>