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nadania nazw drogom wewnętrznym w miejscowości Budziszewko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13  ustawy  z dnia 8 marca 1990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                       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 r., poz. 1465 ze zm.), art. 8 ust. 1a ustawy z dnia 21 marca 1985 r.                           o drogach publicznych (tekst jedn. Dz. U. z 2024 r., poz. 320 ze zm)  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Drodze wewnętrznej usytuowanej na  działce o nr ewidencyjnym 171/35 w miejscowości Budziszewko, obręb ewidencyjny Budziszewko, Gmina Rogoźno nadaje się nazwę: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Gerwazego.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Drodze wewnętrznej usytuowanej na  działkach o nr ewidencyjnych 171/37, 171/68, 171/64 w miejscowości Budziszewko, obręb ewidencyjny Budziszewko, Gmina Rogoźno nadaje się nazwę: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Soplicy.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Drodze wewnętrznej usytuowanej na  działkach o nr ewidencyjnych 171/61, 361 w miejscowości Budziszewko, obręb ewidencyjny Budziszewko, Gmina Rogoźno nadaje się nazwę: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Telimeny.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i zasięg nazw określa załącznik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 14 dni od jej ogłoszenia w Dzienniku Urzędowym Województwa Wielkopolskiego.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248" w:right="0" w:firstLine="708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Załącznik  do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248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</w:t>
        <w:tab/>
        <w:t>Uchwały Nr …………………………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                                                                       </w:t>
        <w:tab/>
        <w:tab/>
        <w:t>Rady Miejskiej w Rogoźnie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                                                                       </w:t>
        <w:tab/>
        <w:tab/>
        <w:t>z dnia ……………… 2024 r.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944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w sprawie nadania nazw</w:t>
      </w:r>
      <w:bookmarkStart w:id="0" w:name="_GoBack"/>
      <w:bookmarkEnd w:id="0"/>
      <w:r>
        <w:rPr>
          <w:sz w:val="20"/>
          <w:szCs w:val="20"/>
          <w:lang w:eastAsia="en-US" w:bidi="en-US"/>
        </w:rPr>
        <w:t xml:space="preserve"> drogom wewnętrznym w miejscowości Budziszewko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944" w:right="0" w:firstLine="0"/>
        <w:contextualSpacing w:val="0"/>
        <w:rPr>
          <w:sz w:val="20"/>
          <w:szCs w:val="20"/>
          <w:lang w:eastAsia="en-US" w:bidi="en-US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944" w:right="0" w:firstLine="0"/>
        <w:contextualSpacing w:val="0"/>
        <w:rPr>
          <w:sz w:val="20"/>
          <w:szCs w:val="20"/>
          <w:lang w:eastAsia="en-US" w:bidi="en-US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center"/>
        <w:rPr>
          <w:rFonts w:ascii="Calibri" w:hAnsi="Calibri"/>
          <w:szCs w:val="20"/>
          <w:lang w:eastAsia="en-US" w:bidi="ar-SA"/>
        </w:rPr>
      </w:pPr>
      <w:r>
        <w:drawing>
          <wp:inline>
            <wp:extent cx="4733925" cy="55149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</w:p>
    <w:tbl>
      <w:tblPr>
        <w:tblStyle w:val="TableGrid"/>
        <w:tblpPr w:leftFromText="141" w:rightFromText="141" w:vertAnchor="text" w:tblpX="1" w:tblpY="1"/>
        <w:tblOverlap w:val="never"/>
        <w:tblW w:w="0" w:type="auto"/>
        <w:shd w:val="clear" w:color="auto" w:fill="FF0000"/>
        <w:tblLook w:val="04A0"/>
      </w:tblPr>
      <w:tblGrid>
        <w:gridCol w:w="496"/>
      </w:tblGrid>
      <w:tr>
        <w:tblPrEx>
          <w:tblW w:w="0" w:type="auto"/>
          <w:shd w:val="clear" w:color="auto" w:fill="FF0000"/>
          <w:tblLook w:val="04A0"/>
        </w:tblPrEx>
        <w:tc>
          <w:tcPr>
            <w:tcW w:w="250" w:type="dxa"/>
            <w:shd w:val="clear" w:color="auto" w:fill="FF0000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Calibri" w:hAnsi="Calibri"/>
                <w:szCs w:val="20"/>
                <w:lang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ul. Gerwazego</w:t>
      </w:r>
    </w:p>
    <w:tbl>
      <w:tblPr>
        <w:tblStyle w:val="TableGrid"/>
        <w:tblpPr w:leftFromText="141" w:rightFromText="141" w:vertAnchor="text" w:tblpX="1" w:tblpY="1"/>
        <w:tblOverlap w:val="never"/>
        <w:tblW w:w="0" w:type="auto"/>
        <w:shd w:val="clear" w:color="auto" w:fill="0070C0"/>
        <w:tblLook w:val="04A0"/>
      </w:tblPr>
      <w:tblGrid>
        <w:gridCol w:w="496"/>
      </w:tblGrid>
      <w:tr>
        <w:tblPrEx>
          <w:tblW w:w="0" w:type="auto"/>
          <w:shd w:val="clear" w:color="auto" w:fill="0070C0"/>
          <w:tblLook w:val="04A0"/>
        </w:tblPrEx>
        <w:tc>
          <w:tcPr>
            <w:tcW w:w="250" w:type="dxa"/>
            <w:shd w:val="clear" w:color="auto" w:fill="0070C0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Calibri" w:hAnsi="Calibri"/>
                <w:szCs w:val="20"/>
                <w:lang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ul. Soplicy</w:t>
      </w:r>
    </w:p>
    <w:tbl>
      <w:tblPr>
        <w:tblStyle w:val="TableGrid"/>
        <w:tblpPr w:leftFromText="141" w:rightFromText="141" w:vertAnchor="text" w:tblpX="1" w:tblpY="1"/>
        <w:tblOverlap w:val="never"/>
        <w:tblW w:w="0" w:type="auto"/>
        <w:shd w:val="clear" w:color="auto" w:fill="31859B"/>
        <w:tblLook w:val="04A0"/>
      </w:tblPr>
      <w:tblGrid>
        <w:gridCol w:w="496"/>
      </w:tblGrid>
      <w:tr>
        <w:tblPrEx>
          <w:tblW w:w="0" w:type="auto"/>
          <w:shd w:val="clear" w:color="auto" w:fill="31859B"/>
          <w:tblLook w:val="04A0"/>
        </w:tblPrEx>
        <w:tc>
          <w:tcPr>
            <w:tcW w:w="250" w:type="dxa"/>
            <w:shd w:val="clear" w:color="auto" w:fill="31859B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Calibri" w:hAnsi="Calibri"/>
                <w:szCs w:val="20"/>
                <w:lang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ul. Telimeny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  <w:sectPr>
          <w:footerReference w:type="default" r:id="rId6"/>
          <w:type w:val="nextPage"/>
          <w:pgSz w:w="11906" w:h="16838" w:code="0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Calibri" w:hAnsi="Calibri"/>
          <w:szCs w:val="20"/>
          <w:lang w:eastAsia="en-US" w:bidi="ar-SA"/>
        </w:rPr>
        <w:fldChar w:fldCharType="begin"/>
      </w:r>
      <w:r>
        <w:rPr>
          <w:rFonts w:ascii="Calibri" w:hAnsi="Calibri"/>
          <w:szCs w:val="20"/>
          <w:lang w:eastAsia="en-US" w:bidi="ar-SA"/>
        </w:rPr>
        <w:fldChar w:fldCharType="separate"/>
      </w:r>
      <w:r>
        <w:rPr>
          <w:rFonts w:ascii="Calibri" w:hAnsi="Calibri"/>
          <w:szCs w:val="20"/>
          <w:lang w:eastAsia="en-US" w:bidi="ar-SA"/>
        </w:rPr>
        <w:fldChar w:fldCharType="end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w sprawie nadania nazw drogom wewnętrznym w miejscowości Budziszewko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b/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Do właściwości rady gminy należy podejmowanie uchwał w sprawach herbu gminy, nazw ulic               i placów będących drogami publicznymi lub nazw dróg wewnętrznych w rozumieniu ustawy  z dnia 21 marca 1985 r. o drogach publicznych  (tekst jedn. Dz. U z 2024 r., poz. 320 ze zm.) przy czym podjęcie uchwały w sprawie nadania nazwy drodze wewnętrznej wymaga uzyskania pisemnej zgody właścicieli terenów, na których jest ona zlokalizowana.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Zgodę na zaproponowane nazwy przez Komisję Opiniodawczą ds. Nazewnictwa Ulic                           w Gminie Rogoźno wyrazili właściciele działek usytuowanych w Budziszewku, o nr ewidencyjnych 171/35, 171/37, 171/68, 171/64, 171/61, 361.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Nadanie nazw ulic umożliwi ustalenie numerów porządkowych dla nieruchomości przy niej położonych oraz ułatwi identyfikację w terenie. 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C55538AC-AFBB-4708-AD17-C28D4E2F34BE.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C55538AC-AFBB-4708-AD17-C28D4E2F34BE.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C55538AC-AFBB-4708-AD17-C28D4E2F34BE.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en-US" w:bidi="en-US"/>
    </w:rPr>
  </w:style>
  <w:style w:type="table" w:styleId="TableGrid">
    <w:name w:val="Table Grid"/>
    <w:basedOn w:val="TableNormal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listopada 2024 r.</dc:title>
  <dc:subject>w sprawie nadania nazw drogom wewnętrznym w miejscowości Budziszewko</dc:subject>
  <dc:creator>bjarzyniewski</dc:creator>
  <cp:lastModifiedBy>bjarzyniewski</cp:lastModifiedBy>
  <cp:revision>1</cp:revision>
  <dcterms:created xsi:type="dcterms:W3CDTF">2024-11-15T10:50:55Z</dcterms:created>
  <dcterms:modified xsi:type="dcterms:W3CDTF">2024-11-15T10:50:55Z</dcterms:modified>
  <cp:category>Akt prawny</cp:category>
</cp:coreProperties>
</file>