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9A" w:rsidRDefault="00F565F5">
      <w:pPr>
        <w:pStyle w:val="SmallTitle"/>
      </w:pPr>
      <w:bookmarkStart w:id="0" w:name="_GoBack"/>
      <w:bookmarkEnd w:id="0"/>
      <w:r>
        <w:t>Informacja o wykonaniu budżetu Gminy Rogoźno</w:t>
      </w:r>
      <w:r>
        <w:br/>
        <w:t>za II kwartał 2024 roku</w:t>
      </w:r>
    </w:p>
    <w:p w:rsidR="00BB379A" w:rsidRDefault="00F565F5">
      <w:pPr>
        <w:jc w:val="both"/>
      </w:pPr>
      <w:r>
        <w:t xml:space="preserve">Zgodnie z art. 37 ust. 1 ustawy z dnia 27 sierpnia 2009 r. – o finansach publicznych (Dz. U. 2023 r. poz. 1270 z późn. zm.) Burmistrz Gminy Rogoźno podaje do publicznej wiadomości </w:t>
      </w:r>
      <w:r>
        <w:t>kwartalną informację o wykonaniu budżetu Gminy Rogoźno, w tym kwotę nadwyżki, oraz o udzielonych umorzeniach niepodatkowych należności budżetowych.</w:t>
      </w:r>
    </w:p>
    <w:p w:rsidR="00BB379A" w:rsidRDefault="00F565F5">
      <w:pPr>
        <w:jc w:val="both"/>
      </w:pPr>
      <w:r>
        <w:t>Budżet Gminy w 2024 roku, który został przyjęty uchwałą Rady Miejskiej w Rogoźnie nr XC/959/2023 z dnia 28.1</w:t>
      </w:r>
      <w:r>
        <w:t>2.2023 roku, zakładał:</w:t>
      </w:r>
    </w:p>
    <w:p w:rsidR="00BB379A" w:rsidRDefault="00F565F5">
      <w:pPr>
        <w:pStyle w:val="Akapitzlist"/>
        <w:numPr>
          <w:ilvl w:val="0"/>
          <w:numId w:val="23"/>
        </w:numPr>
        <w:jc w:val="both"/>
      </w:pPr>
      <w:r>
        <w:t>uzyskanie dochodów w kwocie 91 536 415,27 zł;</w:t>
      </w:r>
    </w:p>
    <w:p w:rsidR="00BB379A" w:rsidRDefault="00F565F5">
      <w:pPr>
        <w:pStyle w:val="Akapitzlist"/>
        <w:numPr>
          <w:ilvl w:val="0"/>
          <w:numId w:val="23"/>
        </w:numPr>
        <w:jc w:val="both"/>
      </w:pPr>
      <w:r>
        <w:t>realizację wydatków na poziomie 90 437 670,07 zł;</w:t>
      </w:r>
    </w:p>
    <w:p w:rsidR="00BB379A" w:rsidRDefault="00F565F5">
      <w:pPr>
        <w:pStyle w:val="Akapitzlist"/>
        <w:numPr>
          <w:ilvl w:val="0"/>
          <w:numId w:val="23"/>
        </w:numPr>
        <w:jc w:val="both"/>
      </w:pPr>
      <w:r>
        <w:t>pozyskanie przychodów w kwocie 698 254,80 zł;</w:t>
      </w:r>
    </w:p>
    <w:p w:rsidR="00BB379A" w:rsidRDefault="00F565F5">
      <w:pPr>
        <w:pStyle w:val="Akapitzlist"/>
        <w:numPr>
          <w:ilvl w:val="0"/>
          <w:numId w:val="23"/>
        </w:numPr>
        <w:jc w:val="both"/>
      </w:pPr>
      <w:r>
        <w:t>realizację rozchodów na poziomie 1 797 000,00 zł.</w:t>
      </w:r>
    </w:p>
    <w:p w:rsidR="00BB379A" w:rsidRDefault="00F565F5">
      <w:pPr>
        <w:jc w:val="both"/>
      </w:pPr>
      <w:r>
        <w:t>Różnica między planem dochodów a planem w</w:t>
      </w:r>
      <w:r>
        <w:t>ydatków wynosiła 1 098 745,20 zł i stanowiła planowaną nadwyżkę budżetu Gminy Rogoźno na 2024 rok. Powstała planowana nadwyżka budżetu została przeznaczona na rozchody.</w:t>
      </w:r>
    </w:p>
    <w:p w:rsidR="00BB379A" w:rsidRDefault="00F565F5">
      <w:pPr>
        <w:jc w:val="both"/>
      </w:pPr>
      <w:r>
        <w:t>W wyniku wprowadzonych zmian w pierwszym półroczu 2024 roku:</w:t>
      </w:r>
    </w:p>
    <w:p w:rsidR="00BB379A" w:rsidRDefault="00F565F5">
      <w:pPr>
        <w:pStyle w:val="Akapitzlist"/>
        <w:numPr>
          <w:ilvl w:val="0"/>
          <w:numId w:val="24"/>
        </w:numPr>
        <w:jc w:val="both"/>
      </w:pPr>
      <w:r>
        <w:t>plan dochodów wzrósł o 45 </w:t>
      </w:r>
      <w:r>
        <w:t>206 887,65 zł do kwoty 136 743 302,92 zł;</w:t>
      </w:r>
    </w:p>
    <w:p w:rsidR="00BB379A" w:rsidRDefault="00F565F5">
      <w:pPr>
        <w:pStyle w:val="Akapitzlist"/>
        <w:numPr>
          <w:ilvl w:val="0"/>
          <w:numId w:val="24"/>
        </w:numPr>
        <w:jc w:val="both"/>
      </w:pPr>
      <w:r>
        <w:t>plan wydatków wzrósł o 52 212 764,21 zł do kwoty 142 650 434,28 zł;</w:t>
      </w:r>
    </w:p>
    <w:p w:rsidR="00BB379A" w:rsidRDefault="00F565F5">
      <w:pPr>
        <w:pStyle w:val="Akapitzlist"/>
        <w:numPr>
          <w:ilvl w:val="0"/>
          <w:numId w:val="24"/>
        </w:numPr>
        <w:jc w:val="both"/>
      </w:pPr>
      <w:r>
        <w:t>plan przychodów wzrósł o 7 005 876,56 zł do kwoty 7 704 131,36 zł;</w:t>
      </w:r>
    </w:p>
    <w:p w:rsidR="00BB379A" w:rsidRDefault="00F565F5">
      <w:pPr>
        <w:pStyle w:val="Akapitzlist"/>
        <w:numPr>
          <w:ilvl w:val="0"/>
          <w:numId w:val="24"/>
        </w:numPr>
        <w:jc w:val="both"/>
      </w:pPr>
      <w:r>
        <w:t>plan rozchodów nie uległ zmianie.</w:t>
      </w:r>
    </w:p>
    <w:p w:rsidR="00BB379A" w:rsidRDefault="00F565F5">
      <w:pPr>
        <w:jc w:val="both"/>
      </w:pPr>
      <w:r>
        <w:t>Na dzień 30 czerwca 2024 roku budżet Gminy Ro</w:t>
      </w:r>
      <w:r>
        <w:t>goźno zamknął się planowanym deficytem budżetowym w kwocie 5 907 131,36 zł stanowiącym różnicę między planem dochodów a planem wydatków.</w:t>
      </w:r>
    </w:p>
    <w:p w:rsidR="00BB379A" w:rsidRDefault="00F565F5">
      <w:pPr>
        <w:jc w:val="both"/>
      </w:pPr>
      <w:r>
        <w:t>W ujęciu tabelarycznym wykonanie budżetu za I półrocze 2024 r. przedstawia poniższa tabela.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391"/>
        <w:gridCol w:w="5632"/>
        <w:gridCol w:w="1033"/>
        <w:gridCol w:w="1108"/>
        <w:gridCol w:w="1033"/>
        <w:gridCol w:w="837"/>
      </w:tblGrid>
      <w:tr w:rsidR="00BB379A" w:rsidTr="00BB37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Lp.</w:t>
            </w:r>
          </w:p>
        </w:tc>
        <w:tc>
          <w:tcPr>
            <w:tcW w:w="7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Wyszczególnienie</w:t>
            </w:r>
          </w:p>
        </w:tc>
        <w:tc>
          <w:tcPr>
            <w:tcW w:w="5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</w:t>
            </w:r>
            <w:r>
              <w:rPr>
                <w:sz w:val="15"/>
                <w:szCs w:val="15"/>
              </w:rPr>
              <w:t>a 1.01.2024 r. (w zł)</w:t>
            </w:r>
          </w:p>
        </w:tc>
        <w:tc>
          <w:tcPr>
            <w:tcW w:w="5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30.06.2024 r. (w zł)</w:t>
            </w:r>
          </w:p>
        </w:tc>
        <w:tc>
          <w:tcPr>
            <w:tcW w:w="5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(w zł)</w:t>
            </w:r>
          </w:p>
        </w:tc>
        <w:tc>
          <w:tcPr>
            <w:tcW w:w="4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Realizacja planu po zmianach (w %)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I.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Dochody ogółem, w tym: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91 536 415,27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136 743 302,92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64 091 163,33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46,87%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Dochody bieżące, w tym: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89 456 464,96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100 089 915,06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56 934 498,35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56,88%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BB379A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Dotacje i dochody celowe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10 700 665,00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16 497 489,47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11 792 978,01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71,48%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BB379A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Subwencja ogólna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29 009 573,00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33 309 248,00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19 441 540,00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58,37%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BB379A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Udziały w PIT i CIT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20 356 882,00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20 356 882,00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10 178 436,00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50,00%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BB379A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Wpływy z podatków i opłat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27 314 683,16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27 601 892,94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14 656 760,30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53,10%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BB379A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Pozostałe dochody bieżące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2 074 661,80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2 324 402,65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864 784,04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37,20%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Dochody majątkowe, w tym: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2 079 950,31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36 653 387,86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7 156 664,98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19,53%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BB379A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Dochody z majątku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1 097 844,00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6 003 102,72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640 493,82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10,67%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BB379A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Dotacje i środki na inwestycje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982 106,31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30 650 285,14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6 516 171,16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21,26%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BB379A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Pozostałe dochody majątkowe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-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II.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Wydatki ogółem, w tym: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90 437 670,07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142 650 434,28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68 000 440,81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47,67%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bieżące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87 828 992,07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100 503 182,52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53 645 392,29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53,38%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majątkowe, w tym: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2 608 678,00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42 147 251,76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14 355 048,52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34,06%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BB379A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wydatki na inwestycje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2 608 678,00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42 147 251,76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14 355 048,52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34,06%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III.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Wynik +/- (I-II)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1 098 745,20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-5 907 131,36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-3 909 277,48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IV.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Różnica między dochodami bieżącymi a wydatkami bieżącymi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1 627 472,89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-413 267,46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3 289 106,06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</w:tr>
    </w:tbl>
    <w:p w:rsidR="00BB379A" w:rsidRDefault="00BB379A">
      <w:pPr>
        <w:jc w:val="both"/>
      </w:pPr>
    </w:p>
    <w:p w:rsidR="00BB379A" w:rsidRDefault="00F565F5">
      <w:pPr>
        <w:jc w:val="both"/>
      </w:pPr>
      <w:r>
        <w:t xml:space="preserve">Na koniec pierwszego półrocza wystąpił deficyt budżetowy w kwocie 3 909 277,48 zł. Różnica między dochodami bieżącymi a wydatkami bieżącymi (wynik budżetu </w:t>
      </w:r>
      <w:r>
        <w:t>bieżącego) wynosi 3 289 106,06 zł.</w:t>
      </w:r>
    </w:p>
    <w:p w:rsidR="00BB379A" w:rsidRDefault="00F565F5">
      <w:pPr>
        <w:pStyle w:val="SmallSubtitle"/>
      </w:pPr>
      <w:r>
        <w:t>Dochody</w:t>
      </w:r>
    </w:p>
    <w:p w:rsidR="00BB379A" w:rsidRDefault="00F565F5">
      <w:pPr>
        <w:jc w:val="both"/>
      </w:pPr>
      <w:r>
        <w:t>Dochody budżetu Gminy w pierwszym półroczu 2024 roku wyniosły 64 091 163,33 zł, a ich realizacja stanowiła 46,87% planu wynoszącego 136 743 302,92 zł. W strukturze dochodów znaczący udział odgrywają dochody bieżąc</w:t>
      </w:r>
      <w:r>
        <w:t xml:space="preserve">e, które w pierwszym półroczu 2024 roku zostały wykonane na poziomie 56 934 498,35 zł, tj. w 56,88% w stosunku do planu wynoszącego 100 089 915,06 zł. Dochody majątkowe Gminy Rogoźno w pierwszym półroczu 2024 roku zostały wykonane na poziomie 7 156 664,98 </w:t>
      </w:r>
      <w:r>
        <w:t>zł, tj. w 19,53% w stosunku do planu wynoszącego 36 653 387,86 zł.</w:t>
      </w:r>
    </w:p>
    <w:p w:rsidR="00BB379A" w:rsidRDefault="00F565F5">
      <w:pPr>
        <w:pStyle w:val="SmallSubtitle"/>
      </w:pPr>
      <w:r>
        <w:lastRenderedPageBreak/>
        <w:t>Dotacje i dochody celowe bieżące</w:t>
      </w:r>
    </w:p>
    <w:p w:rsidR="00BB379A" w:rsidRDefault="00F565F5">
      <w:pPr>
        <w:jc w:val="both"/>
      </w:pPr>
      <w:r>
        <w:t>Biorąc pod uwagę podział dochodów bieżących wg źródeł ich pochodzenia znaczący udział w pierwszym półroczu 2024 roku stanowiły dochody o charakterze celowym</w:t>
      </w:r>
      <w:r>
        <w:t>, które JST otrzymuje od podmiotów zewnętrznych. W pierwszym półroczu 2024 roku środki te zostały zaplanowane w kwocie 16 497 489,47 zł, z kolei zrealizowane na poziomie 11 792 978,01 zł, co stanowi 71,48% realizacji planu, przy czym:</w:t>
      </w:r>
    </w:p>
    <w:p w:rsidR="00BB379A" w:rsidRDefault="00F565F5">
      <w:pPr>
        <w:pStyle w:val="Akapitzlist"/>
        <w:numPr>
          <w:ilvl w:val="0"/>
          <w:numId w:val="25"/>
        </w:numPr>
        <w:jc w:val="both"/>
      </w:pPr>
      <w:r>
        <w:t>dotacje celowe otrzym</w:t>
      </w:r>
      <w:r>
        <w:t>ane z budżetu państwa na realizację zadań z zakresu administracji rządowej wyniosły 8 556 227,37 zł;</w:t>
      </w:r>
    </w:p>
    <w:p w:rsidR="00BB379A" w:rsidRDefault="00F565F5">
      <w:pPr>
        <w:pStyle w:val="Akapitzlist"/>
        <w:numPr>
          <w:ilvl w:val="0"/>
          <w:numId w:val="25"/>
        </w:numPr>
        <w:jc w:val="both"/>
      </w:pPr>
      <w:r>
        <w:t>dotacje na realizację zadań realizowanych na mocy porozumień z organami administracji rządowej 75 000,00 zł;</w:t>
      </w:r>
    </w:p>
    <w:p w:rsidR="00BB379A" w:rsidRDefault="00F565F5">
      <w:pPr>
        <w:pStyle w:val="Akapitzlist"/>
        <w:numPr>
          <w:ilvl w:val="0"/>
          <w:numId w:val="25"/>
        </w:numPr>
        <w:jc w:val="both"/>
      </w:pPr>
      <w:r>
        <w:t xml:space="preserve">dotacje celowe otrzymane z budżetu państwa na </w:t>
      </w:r>
      <w:r>
        <w:t>zadania własne 1 567 608,64 zł;</w:t>
      </w:r>
    </w:p>
    <w:p w:rsidR="00BB379A" w:rsidRDefault="00F565F5">
      <w:pPr>
        <w:pStyle w:val="Akapitzlist"/>
        <w:numPr>
          <w:ilvl w:val="0"/>
          <w:numId w:val="25"/>
        </w:numPr>
        <w:jc w:val="both"/>
      </w:pPr>
      <w:r>
        <w:t>dochody z dotacji na zadania realizowane na podstawie porozumień między jednostkami samorządu terytorialnego 33 255,67 zł;</w:t>
      </w:r>
    </w:p>
    <w:p w:rsidR="00BB379A" w:rsidRDefault="00F565F5">
      <w:pPr>
        <w:pStyle w:val="Akapitzlist"/>
        <w:numPr>
          <w:ilvl w:val="0"/>
          <w:numId w:val="25"/>
        </w:numPr>
        <w:jc w:val="both"/>
      </w:pPr>
      <w:r>
        <w:t>dochody z dotacji w ramach programów finansowanych z udziałem środków europejskich 360 013,78 zł (w t</w:t>
      </w:r>
      <w:r>
        <w:t>ym na realizację programu, projektu lub zadania finansowanego z udziałem środków, o których mowa w art. 5 ust. 1 pkt 2 ustawy 360 013,78 zł);</w:t>
      </w:r>
    </w:p>
    <w:p w:rsidR="00BB379A" w:rsidRDefault="00F565F5">
      <w:pPr>
        <w:pStyle w:val="Akapitzlist"/>
        <w:numPr>
          <w:ilvl w:val="0"/>
          <w:numId w:val="25"/>
        </w:numPr>
        <w:jc w:val="both"/>
      </w:pPr>
      <w:r>
        <w:t>pozostałe dochody o charakterze celowym 1 200 872,55 zł.</w:t>
      </w:r>
    </w:p>
    <w:p w:rsidR="00BB379A" w:rsidRDefault="00F565F5">
      <w:pPr>
        <w:pStyle w:val="SmallSubtitle"/>
      </w:pPr>
      <w:r>
        <w:t>Subwencja ogólna</w:t>
      </w:r>
    </w:p>
    <w:p w:rsidR="00BB379A" w:rsidRDefault="00F565F5">
      <w:pPr>
        <w:jc w:val="both"/>
      </w:pPr>
      <w:r>
        <w:t>Dochody z subwencji w pierwszym półroczu</w:t>
      </w:r>
      <w:r>
        <w:t xml:space="preserve"> 2024 roku zostały zaplanowane na poziomie 33 309 248,00 zł, natomiast zrealizowane w kwocie 19 441 540,00 zł, co stanowi 58,37% realizacji planu, przy czym:</w:t>
      </w:r>
    </w:p>
    <w:p w:rsidR="00BB379A" w:rsidRDefault="00F565F5">
      <w:pPr>
        <w:pStyle w:val="Akapitzlist"/>
        <w:numPr>
          <w:ilvl w:val="0"/>
          <w:numId w:val="26"/>
        </w:numPr>
        <w:jc w:val="both"/>
      </w:pPr>
      <w:r>
        <w:t>dochody z subwencji oświatowej wyniosły 14 863 576,00 zł;</w:t>
      </w:r>
    </w:p>
    <w:p w:rsidR="00BB379A" w:rsidRDefault="00F565F5">
      <w:pPr>
        <w:pStyle w:val="Akapitzlist"/>
        <w:numPr>
          <w:ilvl w:val="0"/>
          <w:numId w:val="26"/>
        </w:numPr>
        <w:jc w:val="both"/>
      </w:pPr>
      <w:r>
        <w:t xml:space="preserve">dochody z subwencji wyrównawczej </w:t>
      </w:r>
      <w:r>
        <w:t>wyniosły 3 604 122,00 zł;</w:t>
      </w:r>
    </w:p>
    <w:p w:rsidR="00BB379A" w:rsidRDefault="00F565F5">
      <w:pPr>
        <w:pStyle w:val="Akapitzlist"/>
        <w:numPr>
          <w:ilvl w:val="0"/>
          <w:numId w:val="26"/>
        </w:numPr>
        <w:jc w:val="both"/>
      </w:pPr>
      <w:r>
        <w:t>dochody z subwencji rozwojowej wyniosły 518 820,00 zł;</w:t>
      </w:r>
    </w:p>
    <w:p w:rsidR="00BB379A" w:rsidRDefault="00F565F5">
      <w:pPr>
        <w:pStyle w:val="Akapitzlist"/>
        <w:numPr>
          <w:ilvl w:val="0"/>
          <w:numId w:val="26"/>
        </w:numPr>
        <w:jc w:val="both"/>
      </w:pPr>
      <w:r>
        <w:t>dochody z subwencji równoważącej wyniosły 455 022,00 zł.</w:t>
      </w:r>
    </w:p>
    <w:p w:rsidR="00BB379A" w:rsidRDefault="00F565F5">
      <w:pPr>
        <w:pStyle w:val="SmallSubtitle"/>
      </w:pPr>
      <w:r>
        <w:t>Udział w podatkach stanowiących dochód budżetu państwa</w:t>
      </w:r>
    </w:p>
    <w:p w:rsidR="00BB379A" w:rsidRDefault="00F565F5">
      <w:pPr>
        <w:jc w:val="both"/>
      </w:pPr>
      <w:r>
        <w:t>Udziały w podatkach stanowiących dochód budżetu państwa zaplano</w:t>
      </w:r>
      <w:r>
        <w:t>wane zostały w kwocie 20 356 882,00 zł, zaś zrealizowane w pierwszym półroczu 2024 roku w kwocie 10 178 436,00 zł, co stanowi 50,00% realizacji planu, przy czym:</w:t>
      </w:r>
    </w:p>
    <w:p w:rsidR="00BB379A" w:rsidRDefault="00F565F5">
      <w:pPr>
        <w:pStyle w:val="Akapitzlist"/>
        <w:numPr>
          <w:ilvl w:val="0"/>
          <w:numId w:val="27"/>
        </w:numPr>
        <w:jc w:val="both"/>
      </w:pPr>
      <w:r>
        <w:t>dochody z tytułu wpływów z podatku od osób prawnych wyniosły 1 538 172,00 zł;</w:t>
      </w:r>
    </w:p>
    <w:p w:rsidR="00BB379A" w:rsidRDefault="00F565F5">
      <w:pPr>
        <w:pStyle w:val="Akapitzlist"/>
        <w:numPr>
          <w:ilvl w:val="0"/>
          <w:numId w:val="27"/>
        </w:numPr>
        <w:jc w:val="both"/>
      </w:pPr>
      <w:r>
        <w:t>dochody z tytułu</w:t>
      </w:r>
      <w:r>
        <w:t xml:space="preserve"> wpływów z podatku od osób fizycznych wyniosły 8 640 264,00 zł.</w:t>
      </w:r>
    </w:p>
    <w:p w:rsidR="00BB379A" w:rsidRDefault="00F565F5">
      <w:pPr>
        <w:pStyle w:val="SmallSubtitle"/>
      </w:pPr>
      <w:r>
        <w:t>Wpływy z podatków i opłat lokalnych</w:t>
      </w:r>
    </w:p>
    <w:p w:rsidR="00BB379A" w:rsidRDefault="00F565F5">
      <w:pPr>
        <w:pStyle w:val="Nagwek5"/>
        <w:jc w:val="both"/>
      </w:pPr>
      <w:r>
        <w:t>Podatek od nieruchomości</w:t>
      </w:r>
    </w:p>
    <w:p w:rsidR="00BB379A" w:rsidRDefault="00F565F5">
      <w:pPr>
        <w:jc w:val="both"/>
      </w:pPr>
      <w:r>
        <w:t>Wpływy z podatku od nieruchomości w pierwszym półroczu 2024 roku zostały zrealizowane w kwocie 7 660 128,40 zł, co stanowi 52,70% r</w:t>
      </w:r>
      <w:r>
        <w:t xml:space="preserve">ealizacji planu wynoszącego 14 535 763,63 zł, w tym 4 930 967,26 zł od osób prawnych i 2 729 161,14 zł od osób fizycznych. Zaległości podatkowe na dzień 30 czerwca 2024 roku wynoszą 4 433 657,36 zł, w tym 1 446 953,75 zł od osób prawnych i 2 986 703,61 zł </w:t>
      </w:r>
      <w:r>
        <w:t>od osób fizycznych. Z uwagi, iż Gmina w okresie sprawozdawczym nie stosowała maksymalnych stawek wynikających z obwieszczenia MF, skutki obniżenia górnych stawek podatków kształtują się na poziomie 2 999 067,61 zł.</w:t>
      </w:r>
    </w:p>
    <w:p w:rsidR="00BB379A" w:rsidRDefault="00F565F5">
      <w:pPr>
        <w:pStyle w:val="Nagwek5"/>
        <w:jc w:val="both"/>
      </w:pPr>
      <w:r>
        <w:t>Podatek rolny</w:t>
      </w:r>
    </w:p>
    <w:p w:rsidR="00BB379A" w:rsidRDefault="00F565F5">
      <w:pPr>
        <w:jc w:val="both"/>
      </w:pPr>
      <w:r>
        <w:t xml:space="preserve">Wpływy z podatku rolnego w </w:t>
      </w:r>
      <w:r>
        <w:t>pierwszym półroczu 2024 roku zostały zrealizowane w kwocie 541 418,16 zł, co stanowi 56,87% realizacji planu wynoszącego 951 985,00 zł, w tym 61 125,40 zł od osób prawnych i 480 292,76 zł od osób fizycznych. Zaległości podatkowe na dzień 30 czerwca 2024 ro</w:t>
      </w:r>
      <w:r>
        <w:t>ku wynoszą 135 106,74 zł, w tym 167,90 zł od osób prawnych i 134 938,84 zł od osób fizycznych.Z uwagi, iż Gmina podjęła uchwałę w sprawie obniżenia średniej ceny skupu żyta, przyjmowanej jako podstawę obliczenia podatku rolnego, skutki obniżenia górnych st</w:t>
      </w:r>
      <w:r>
        <w:t>awek podatków kształtują się na poziomie 591 014,47 zł.</w:t>
      </w:r>
    </w:p>
    <w:p w:rsidR="00BB379A" w:rsidRDefault="00F565F5">
      <w:pPr>
        <w:pStyle w:val="Nagwek5"/>
        <w:jc w:val="both"/>
      </w:pPr>
      <w:r>
        <w:lastRenderedPageBreak/>
        <w:t>Podatek leśny</w:t>
      </w:r>
    </w:p>
    <w:p w:rsidR="00BB379A" w:rsidRDefault="00F565F5">
      <w:pPr>
        <w:jc w:val="both"/>
      </w:pPr>
      <w:r>
        <w:t xml:space="preserve">Wpływy z podatku leśnego w pierwszym półroczu 2024 roku zostały zrealizowane w kwocie 148 979,00 zł, co stanowi 51,20% realizacji planu wynoszącego 290 971,00 zł, w tym 139 406,00 zł od </w:t>
      </w:r>
      <w:r>
        <w:t>osób prawnych i 9 573,00 zł od osób fizycznych. Zaległości podatkowe na dzień 30 czerwca 2024 roku wynoszą 1 593,00 zł, w tym 0,00 zł od osób prawnych i 1 593,00 zł od osób fizycznych.</w:t>
      </w:r>
    </w:p>
    <w:p w:rsidR="00BB379A" w:rsidRDefault="00F565F5">
      <w:pPr>
        <w:pStyle w:val="Nagwek5"/>
        <w:jc w:val="both"/>
      </w:pPr>
      <w:r>
        <w:t>Podatek od środków transportowych</w:t>
      </w:r>
    </w:p>
    <w:p w:rsidR="00BB379A" w:rsidRDefault="00F565F5">
      <w:pPr>
        <w:jc w:val="both"/>
      </w:pPr>
      <w:r>
        <w:t>Wpływy z podatku od środków transport</w:t>
      </w:r>
      <w:r>
        <w:t>owych w pierwszym półroczu 2024 roku zostały zrealizowane w kwocie 206 375,36 zł, co stanowi 42,16% realizacji planu wynoszącego 489 452,00 zł, w tym 76 629,00 zł od osób prawnych i 129 746,36 zł od osób fizycznych. Zaległości podatkowe na dzień 30 czerwca</w:t>
      </w:r>
      <w:r>
        <w:t xml:space="preserve"> 2024 roku wynoszą 485 823,89 zł, w tym 142 371,70 zł od osób prawnych i 343 452,19 zł od osób fizycznych. Z uwagi, iż Gmina nie stosuje maksymalnych stawek wynikających z obwieszczenia MF, skutki obniżenia górnych stawek podatków za okres sprawozdawczy ks</w:t>
      </w:r>
      <w:r>
        <w:t>ztałtują się na poziomie 264 054,00 zł.</w:t>
      </w:r>
    </w:p>
    <w:p w:rsidR="00BB379A" w:rsidRDefault="00F565F5">
      <w:pPr>
        <w:pStyle w:val="Nagwek5"/>
        <w:jc w:val="both"/>
      </w:pPr>
      <w:r>
        <w:t>Podatek od działalności gospodarczej osób fizycznych, opłacany w formie karty podatkowej</w:t>
      </w:r>
    </w:p>
    <w:p w:rsidR="00BB379A" w:rsidRDefault="00F565F5">
      <w:pPr>
        <w:jc w:val="both"/>
      </w:pPr>
      <w:r>
        <w:t>Wpływy z podatku od działalności gospodarczej osób fizycznych, opłacanego w formie karty podatkowej w pierwszym półroczu 2024 r</w:t>
      </w:r>
      <w:r>
        <w:t>oku zostały zrealizowane w kwocie 42 782,61 zł, co stanowi 64,82% realizacji planu wynoszącego 66 000,00 zł. Zaległości podatkowe na dzień 30 czerwca 2024 roku wynoszą 19 195,76 zł.</w:t>
      </w:r>
    </w:p>
    <w:p w:rsidR="00BB379A" w:rsidRDefault="00F565F5">
      <w:pPr>
        <w:pStyle w:val="Nagwek5"/>
        <w:jc w:val="both"/>
      </w:pPr>
      <w:r>
        <w:t>Podatek od spadków i darowizn</w:t>
      </w:r>
    </w:p>
    <w:p w:rsidR="00BB379A" w:rsidRDefault="00F565F5">
      <w:pPr>
        <w:jc w:val="both"/>
      </w:pPr>
      <w:r>
        <w:t>Wpływy z podatku od spadków i darowizn w pie</w:t>
      </w:r>
      <w:r>
        <w:t>rwszym półroczu 2024 roku zostały zrealizowane w kwocie 77 106,45 zł, co stanowi 35,05% realizacji planu wynoszącego 220 000,00 zł. Zaległości podatkowe na dzień 30 czerwca 2024 roku wynoszą 8 007,23 zł.</w:t>
      </w:r>
    </w:p>
    <w:p w:rsidR="00BB379A" w:rsidRDefault="00F565F5">
      <w:pPr>
        <w:pStyle w:val="Nagwek5"/>
        <w:jc w:val="both"/>
      </w:pPr>
      <w:r>
        <w:t>Podatek od czynności cywilnoprawnych</w:t>
      </w:r>
    </w:p>
    <w:p w:rsidR="00BB379A" w:rsidRDefault="00F565F5">
      <w:pPr>
        <w:jc w:val="both"/>
      </w:pPr>
      <w:r>
        <w:t>Wpływy z podatk</w:t>
      </w:r>
      <w:r>
        <w:t>u od czynności cywilnoprawnych w pierwszym półroczu 2024 roku zostały zrealizowane w kwocie 818 835,08 zł, co stanowi 80,18% realizacji planu wynoszącego 1 021 300,00 zł, w tym 11 835,74 zł od osób prawnych i 806 999,34 zł od osób fizycznych. Zaległości po</w:t>
      </w:r>
      <w:r>
        <w:t>datkowe na dzień 30 czerwca 2024 roku wynoszą 6 866,59 zł, w tym 2 053,89 zł od osób prawnych i 4 812,70 zł od osób fizycznych.</w:t>
      </w:r>
    </w:p>
    <w:p w:rsidR="00BB379A" w:rsidRDefault="00F565F5">
      <w:pPr>
        <w:pStyle w:val="Nagwek5"/>
        <w:jc w:val="both"/>
      </w:pPr>
      <w:r>
        <w:t>Wpływy z opłaty skarbowej</w:t>
      </w:r>
    </w:p>
    <w:p w:rsidR="00BB379A" w:rsidRDefault="00F565F5">
      <w:pPr>
        <w:jc w:val="both"/>
      </w:pPr>
      <w:r>
        <w:t>Wpływy z opłaty skarbowej w pierwszym półroczu 2024 roku zostały zrealizowane w kwocie 34 171,00 zł, c</w:t>
      </w:r>
      <w:r>
        <w:t>o stanowi 52,60% realizacji planu wynoszącego 64 963,00 zł.</w:t>
      </w:r>
    </w:p>
    <w:p w:rsidR="00BB379A" w:rsidRDefault="00F565F5">
      <w:pPr>
        <w:pStyle w:val="Nagwek5"/>
        <w:jc w:val="both"/>
      </w:pPr>
      <w:r>
        <w:t>Wpływy z opłat lokalnych</w:t>
      </w:r>
    </w:p>
    <w:p w:rsidR="00BB379A" w:rsidRDefault="00F565F5">
      <w:pPr>
        <w:jc w:val="both"/>
      </w:pPr>
      <w:r>
        <w:t>Wpływy z opłat w 2024 roku zostały zaplanowane na poziomie 9 961 458,31 zł, natomiast zrealizowane w pierwszym półroczu w kwocie 5 126 964,24 zł, co stanowi 51,47% realiza</w:t>
      </w:r>
      <w:r>
        <w:t>cji planu. Najwyższe wpływy z opłat zrealizowane zostały z:</w:t>
      </w:r>
    </w:p>
    <w:p w:rsidR="00BB379A" w:rsidRDefault="00F565F5">
      <w:pPr>
        <w:pStyle w:val="Akapitzlist"/>
        <w:numPr>
          <w:ilvl w:val="0"/>
          <w:numId w:val="28"/>
        </w:numPr>
        <w:jc w:val="both"/>
      </w:pPr>
      <w:r>
        <w:t>§049 (wpływy z innych lokalnych opłat pobieranych przez jednostki samorządu terytorialnego na podstawie odrębnych ustaw) – 3 682 784,94 zł;</w:t>
      </w:r>
    </w:p>
    <w:p w:rsidR="00BB379A" w:rsidRDefault="00F565F5">
      <w:pPr>
        <w:pStyle w:val="Akapitzlist"/>
        <w:numPr>
          <w:ilvl w:val="0"/>
          <w:numId w:val="28"/>
        </w:numPr>
        <w:jc w:val="both"/>
      </w:pPr>
      <w:r>
        <w:t xml:space="preserve">§067 (wpływy z opłat za korzystanie z wyżywienia w </w:t>
      </w:r>
      <w:r>
        <w:t>jednostkach realizujących zadania z zakresu wychowania przedszkolnego) – 383 809,68 zł;</w:t>
      </w:r>
    </w:p>
    <w:p w:rsidR="00BB379A" w:rsidRDefault="00F565F5">
      <w:pPr>
        <w:pStyle w:val="Akapitzlist"/>
        <w:numPr>
          <w:ilvl w:val="0"/>
          <w:numId w:val="28"/>
        </w:numPr>
        <w:jc w:val="both"/>
      </w:pPr>
      <w:r>
        <w:t>§048 (wpływy z opłat za zezwolenia na sprzedaż napojów alkoholowych) – 366 824,98 zł;</w:t>
      </w:r>
    </w:p>
    <w:p w:rsidR="00BB379A" w:rsidRDefault="00F565F5">
      <w:pPr>
        <w:pStyle w:val="Akapitzlist"/>
        <w:numPr>
          <w:ilvl w:val="0"/>
          <w:numId w:val="28"/>
        </w:numPr>
        <w:jc w:val="both"/>
      </w:pPr>
      <w:r>
        <w:t>§066 (wpływy z opłat za korzystanie z wychowania przedszkolnego) – 270 792,00 zł;</w:t>
      </w:r>
    </w:p>
    <w:p w:rsidR="00BB379A" w:rsidRDefault="00F565F5">
      <w:pPr>
        <w:pStyle w:val="Akapitzlist"/>
        <w:numPr>
          <w:ilvl w:val="0"/>
          <w:numId w:val="28"/>
        </w:numPr>
        <w:jc w:val="both"/>
      </w:pPr>
      <w:r>
        <w:t>§062 (wpływy z opłat za zezwolenia, akredytacje oraz opłaty ewidencyjne, w tym opłaty za częstotliwości) – 151 506,80 zł.</w:t>
      </w:r>
    </w:p>
    <w:p w:rsidR="00BB379A" w:rsidRDefault="00F565F5">
      <w:pPr>
        <w:pStyle w:val="SmallSubtitle"/>
      </w:pPr>
      <w:r>
        <w:t>Pozostałe dochody bieżące</w:t>
      </w:r>
    </w:p>
    <w:p w:rsidR="00BB379A" w:rsidRDefault="00F565F5">
      <w:pPr>
        <w:jc w:val="both"/>
      </w:pPr>
      <w:r>
        <w:t>Pozostałe dochody bieżące to dochody niesklasyfikowane w ramach wcześniejszych grup. W okresie sprawozdawczy</w:t>
      </w:r>
      <w:r>
        <w:t>m przewiduje się wykonanie na poziomie 2 324 402,65 zł. Plan w pierwszym półroczu został wykonany w kwocie 864 784,04 zł, co stanowi 37,20% założeń.</w:t>
      </w:r>
    </w:p>
    <w:p w:rsidR="00BB379A" w:rsidRDefault="00F565F5">
      <w:pPr>
        <w:pStyle w:val="SmallSubtitle"/>
      </w:pPr>
      <w:r>
        <w:lastRenderedPageBreak/>
        <w:t>Dochody z majątku</w:t>
      </w:r>
    </w:p>
    <w:p w:rsidR="00BB379A" w:rsidRDefault="00F565F5">
      <w:pPr>
        <w:jc w:val="both"/>
      </w:pPr>
      <w:r>
        <w:t>Dochody z majątku zostały zaplanowane na poziomie 6 003 102,72 zł, natomiast zrealizowane</w:t>
      </w:r>
      <w:r>
        <w:t xml:space="preserve"> w pierwszym półroczu 2024 roku w kwocie 640 493,82 zł, co stanowi 10,67% realizacji planu, przy czym:</w:t>
      </w:r>
    </w:p>
    <w:p w:rsidR="00BB379A" w:rsidRDefault="00F565F5">
      <w:pPr>
        <w:pStyle w:val="Akapitzlist"/>
        <w:numPr>
          <w:ilvl w:val="0"/>
          <w:numId w:val="29"/>
        </w:numPr>
        <w:jc w:val="both"/>
      </w:pPr>
      <w:r>
        <w:t>wpłaty z tytułu odpłatnego nabycia prawa własności oraz prawa użytkowania wieczystego nieruchomości wyniosły 617 831,95 zł;</w:t>
      </w:r>
    </w:p>
    <w:p w:rsidR="00BB379A" w:rsidRDefault="00F565F5">
      <w:pPr>
        <w:pStyle w:val="Akapitzlist"/>
        <w:numPr>
          <w:ilvl w:val="0"/>
          <w:numId w:val="29"/>
        </w:numPr>
        <w:jc w:val="both"/>
      </w:pPr>
      <w:r>
        <w:t xml:space="preserve">wpływy z tytułu </w:t>
      </w:r>
      <w:r>
        <w:t>przekształcenia prawa użytkowania wieczystego w prawo własności wyniosły 22 186,67 zł;</w:t>
      </w:r>
    </w:p>
    <w:p w:rsidR="00BB379A" w:rsidRDefault="00F565F5">
      <w:pPr>
        <w:pStyle w:val="Akapitzlist"/>
        <w:numPr>
          <w:ilvl w:val="0"/>
          <w:numId w:val="29"/>
        </w:numPr>
        <w:jc w:val="both"/>
      </w:pPr>
      <w:r>
        <w:t>wpływy ze sprzedaży składników majątkowych wyniosły 475,20 zł.</w:t>
      </w:r>
    </w:p>
    <w:p w:rsidR="00BB379A" w:rsidRDefault="00F565F5">
      <w:pPr>
        <w:pStyle w:val="SmallSubtitle"/>
      </w:pPr>
      <w:r>
        <w:t>Dotacje i środki na inwestycje</w:t>
      </w:r>
    </w:p>
    <w:p w:rsidR="00BB379A" w:rsidRDefault="00F565F5">
      <w:pPr>
        <w:jc w:val="both"/>
      </w:pPr>
      <w:r>
        <w:t xml:space="preserve">Dotacje i środki na inwestycje w 2024 roku zostały zaplanowane na poziomie </w:t>
      </w:r>
      <w:r>
        <w:t>30 650 285,14 zł, natomiast zrealizowane w pierwszym półroczu w kwocie 6 516 171,16 zł, co stanowi 21,26% realizacji planu.</w:t>
      </w:r>
    </w:p>
    <w:p w:rsidR="00BB379A" w:rsidRDefault="00F565F5">
      <w:pPr>
        <w:jc w:val="both"/>
      </w:pPr>
      <w:r>
        <w:t>Największy poziom dotacji i środków na inwestycje w pierwszym półroczu Gmina uzyskała na realizację zadań w obszarze:</w:t>
      </w:r>
    </w:p>
    <w:p w:rsidR="00BB379A" w:rsidRDefault="00F565F5">
      <w:pPr>
        <w:pStyle w:val="Akapitzlist"/>
        <w:numPr>
          <w:ilvl w:val="0"/>
          <w:numId w:val="30"/>
        </w:numPr>
        <w:jc w:val="both"/>
      </w:pPr>
      <w:r>
        <w:t>Drogi publiczn</w:t>
      </w:r>
      <w:r>
        <w:t>e gminne w ramach działu Transport i łączność – 6 496 387,06 zł;</w:t>
      </w:r>
    </w:p>
    <w:p w:rsidR="00BB379A" w:rsidRDefault="00F565F5">
      <w:pPr>
        <w:pStyle w:val="Akapitzlist"/>
        <w:numPr>
          <w:ilvl w:val="0"/>
          <w:numId w:val="30"/>
        </w:numPr>
        <w:jc w:val="both"/>
      </w:pPr>
      <w:r>
        <w:t>Ochrona powietrza atmosferycznego i klimatu w ramach działu Gospodarka komunalna i ochrona środowiska – 19 784,10 zł.</w:t>
      </w:r>
    </w:p>
    <w:p w:rsidR="00BB379A" w:rsidRDefault="00F565F5">
      <w:pPr>
        <w:pStyle w:val="SmallSubtitle"/>
      </w:pPr>
      <w:r>
        <w:t>Wydatki</w:t>
      </w:r>
    </w:p>
    <w:p w:rsidR="00BB379A" w:rsidRDefault="00F565F5">
      <w:pPr>
        <w:jc w:val="both"/>
      </w:pPr>
      <w:r>
        <w:t>Wydatki budżetu Gminy w pierwszym półroczu 2024 roku wyniosły 68 </w:t>
      </w:r>
      <w:r>
        <w:t>000 440,81 zł, a ich realizacja wyniosła 47,67% planu wynoszącego 142 650 434,28 zł. W pierwszym półroczu 2024 roku wydatki bieżące zostały wykonane na poziomie 53 645 392,29 zł, tj. w 53,38% w stosunku do planu po zmianach wynoszącego 100 503 182,52 zł, z</w:t>
      </w:r>
      <w:r>
        <w:t xml:space="preserve"> kolei majątkowe zostały wykonane na poziomie 14 355 048,52 zł, tj. w 34,06% w stosunku do planu po zmianach wynoszącego 42 147 251,76 zł.</w:t>
      </w:r>
    </w:p>
    <w:p w:rsidR="00BB379A" w:rsidRDefault="00F565F5">
      <w:pPr>
        <w:jc w:val="both"/>
      </w:pPr>
      <w:r>
        <w:t>Realizację planu wydatków w pierwszym półroczu 2024 roku przedstawia tabela poniżej.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504"/>
        <w:gridCol w:w="2782"/>
        <w:gridCol w:w="1579"/>
        <w:gridCol w:w="1579"/>
        <w:gridCol w:w="1579"/>
        <w:gridCol w:w="1278"/>
        <w:gridCol w:w="733"/>
      </w:tblGrid>
      <w:tr w:rsidR="00BB379A" w:rsidTr="00BB37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Wyszczególnienie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1</w:t>
            </w:r>
            <w:r>
              <w:rPr>
                <w:sz w:val="15"/>
                <w:szCs w:val="15"/>
              </w:rPr>
              <w:t>.01.2024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30.06.2024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(w zł)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Realizacja planu po zmianach (w %)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Udział (w %)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Oświata i wychowanie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41 767 331,08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57 673 300,11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31 424 744,76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54,49%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46,21%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 i łączność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3 541 442,00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22 052 757,65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8 728 722,68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39,58%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12,84%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855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Rodzina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10 606 472,00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10 201 561,04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6 621 909,97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64,91%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9,74%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Gospodarka komunalna i ochrona środowiska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11 017 551,24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22 960 338,01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5 371 197,83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23,39%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7,90%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Administracja publiczna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8 903 713,27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9 589 613,99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5 151 216,32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53,72%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7,58%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852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Pomoc społeczna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7 112 453,00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8 638 962,57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5 035 709,36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58,29%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7,41%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Kultura i ochrona dziedzictwa narodowego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3 035 451,30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4 096 406,30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1 491 463,88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36,41%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2,19%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Rolnictwo i łowiectwo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174 039,70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1 208 601,72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1 074 363,20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88,89%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1,58%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757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Obsługa długu publicznego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1 145 000,00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1 384 360,00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738 288,08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53,33%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1,09%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754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722 668,02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1 031 216,62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704 171,89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68,29%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1,04%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Gospodarka mieszkaniowa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897 018,62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994 582,62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588 100,97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59,13%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0,86%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3 531,00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403 426,00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368 726,53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91,40%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0,54%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Ochrona zdrowia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410 000,00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886 945,81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205 793,65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23,20%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0,30%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926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Kultura </w:t>
            </w:r>
            <w:r>
              <w:rPr>
                <w:sz w:val="15"/>
                <w:szCs w:val="15"/>
              </w:rPr>
              <w:t>fizyczna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386 398,84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468 768,84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190 399,47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40,62%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0,28%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854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Edukacyjna opieka wychowawcza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207 693,00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162 856,42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78,41%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0,24%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Turystyka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222 000,00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72 280,70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32,56%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0,11%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Działalność usługowa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199 754,00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64 607,86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32,34%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0,10%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Rybołówstwo i rybactwo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14 600,00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15 959,00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4 303,24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26,96%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&lt; 0,01%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853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Pozostałe zadania w zakresie polityki społecznej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12 142,00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1 224,00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10,08%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&lt; 0,01%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752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Obrona narodowa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360,00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&lt; 0,01%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Wytwarzanie </w:t>
            </w:r>
            <w:r>
              <w:rPr>
                <w:sz w:val="15"/>
                <w:szCs w:val="15"/>
              </w:rPr>
              <w:t>i zaopatrywanie w energię elektryczną, gaz i wodę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11 685,00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758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rozliczenia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BB379A" w:rsidTr="00BB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BB379A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 WYDATKI OGÓŁEM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90 437 670,07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142 650 434,28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68 000 440,81</w:t>
            </w:r>
          </w:p>
        </w:tc>
        <w:tc>
          <w:tcPr>
            <w:tcW w:w="7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47,67%</w:t>
            </w:r>
          </w:p>
        </w:tc>
        <w:tc>
          <w:tcPr>
            <w:tcW w:w="2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BB379A" w:rsidRDefault="00F56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100,00%</w:t>
            </w:r>
          </w:p>
        </w:tc>
      </w:tr>
    </w:tbl>
    <w:p w:rsidR="00BB379A" w:rsidRDefault="00BB379A">
      <w:pPr>
        <w:jc w:val="both"/>
      </w:pPr>
    </w:p>
    <w:p w:rsidR="00BB379A" w:rsidRDefault="00F565F5">
      <w:pPr>
        <w:jc w:val="both"/>
      </w:pPr>
      <w:r>
        <w:lastRenderedPageBreak/>
        <w:t xml:space="preserve">Podział wydatków wg rodzajów </w:t>
      </w:r>
      <w:r>
        <w:t>przedstawia się następująco:</w:t>
      </w:r>
    </w:p>
    <w:p w:rsidR="00BB379A" w:rsidRDefault="00F565F5">
      <w:pPr>
        <w:pStyle w:val="Akapitzlist"/>
        <w:numPr>
          <w:ilvl w:val="0"/>
          <w:numId w:val="31"/>
        </w:numPr>
        <w:jc w:val="both"/>
      </w:pPr>
      <w:r>
        <w:t>wydatki bieżące zostały wykonane na poziomie 53 645 392,29 zł, tj. w 53,38% w stosunku do planu po zmianach wynoszącego 100 503 182,52 zł, z tego:</w:t>
      </w:r>
    </w:p>
    <w:p w:rsidR="00BB379A" w:rsidRDefault="00F565F5">
      <w:pPr>
        <w:pStyle w:val="Akapitzlist"/>
        <w:numPr>
          <w:ilvl w:val="1"/>
          <w:numId w:val="31"/>
        </w:numPr>
        <w:jc w:val="both"/>
      </w:pPr>
      <w:r>
        <w:t>wynagrodzenia i składki od nich naliczane – 25 036 667,84 zł, tj. 52,59% planu w</w:t>
      </w:r>
      <w:r>
        <w:t>ynoszącego 47 603 239,96 zł, z tego: wynagrodzenia osobowe nauczycieli 10 174 190,72 zł, wynagrodzenia osobowe pracowników 7 708 802,25 zł, składki na ubezpieczenia społeczne 3 853 451,70 zł, dodatkowe wynagrodzenie roczne nauczycieli 1 266 730,91 zł, doda</w:t>
      </w:r>
      <w:r>
        <w:t>tkowe wynagrodzenie roczne 1 050 386,46 zł, wynagrodzenia bezosobowe 422 603,36 zł, składki na Fundusz Pracy oraz Fundusz Solidarnościowy 337 559,45 zł, wynagrodzenia nauczycieli wypłacane w związku z pomocą obywatelom Ukrainy 96 757,71 zł, wynagrodzenia i</w:t>
      </w:r>
      <w:r>
        <w:t xml:space="preserve"> uposażenia wypłacane w związku z pomocą obywatelom Ukrainy 52 632,90 zł, wpłaty na PPK finansowane przez podmiot zatrudniający 38 658,36 zł, składki i inne pochodne od wynagrodzeń pracowników wypłacanych w związku z pomocą obywatelom Ukrainy 33 986,02 zł,</w:t>
      </w:r>
      <w:r>
        <w:t xml:space="preserve"> wynagrodzenia agencyjno-prowizyjne 908,00 zł;</w:t>
      </w:r>
    </w:p>
    <w:p w:rsidR="00BB379A" w:rsidRDefault="00F565F5">
      <w:pPr>
        <w:pStyle w:val="Akapitzlist"/>
        <w:numPr>
          <w:ilvl w:val="1"/>
          <w:numId w:val="31"/>
        </w:numPr>
        <w:jc w:val="both"/>
      </w:pPr>
      <w:r>
        <w:t>świadczenia na rzecz osób fizycznych – 7 070 310,20 zł, tj. 66,42% planu wynoszącego 10 645 363,76 zł, z tego: świadczenia społeczne 5 644 687,00 zł, różne wydatki na rzecz osób fizycznych  638 388,16 zł, wyda</w:t>
      </w:r>
      <w:r>
        <w:t>tki osobowe niezaliczone do wynagrodzeń 307 191,42 zł, świadczenia związane z udzielaniem pomocy obywatelom Ukrainy 207 720,00 zł, stypendia dla uczniów 162 856,42 zł, świadczenia społeczne wypłacane obywatelom Ukrainy przebywającym na terytorium RP 109 46</w:t>
      </w:r>
      <w:r>
        <w:t>7,20 zł;</w:t>
      </w:r>
    </w:p>
    <w:p w:rsidR="00BB379A" w:rsidRDefault="00F565F5">
      <w:pPr>
        <w:pStyle w:val="Akapitzlist"/>
        <w:numPr>
          <w:ilvl w:val="1"/>
          <w:numId w:val="31"/>
        </w:numPr>
        <w:jc w:val="both"/>
      </w:pPr>
      <w:r>
        <w:t>dotacje – 5 187 369,98 zł, tj. 53,24% planu wynoszącego 9 744 068,86 zł,</w:t>
      </w:r>
    </w:p>
    <w:p w:rsidR="00BB379A" w:rsidRDefault="00F565F5">
      <w:pPr>
        <w:pStyle w:val="Akapitzlist"/>
        <w:numPr>
          <w:ilvl w:val="1"/>
          <w:numId w:val="31"/>
        </w:numPr>
        <w:jc w:val="both"/>
      </w:pPr>
      <w:r>
        <w:t>wydatki na obsługę długu publicznego – 738 288,08 zł, tj. 53,33% planu wynoszącego 1 384 360,00 zł,</w:t>
      </w:r>
    </w:p>
    <w:p w:rsidR="00BB379A" w:rsidRDefault="00F565F5">
      <w:pPr>
        <w:pStyle w:val="Akapitzlist"/>
        <w:numPr>
          <w:ilvl w:val="1"/>
          <w:numId w:val="31"/>
        </w:numPr>
        <w:jc w:val="both"/>
      </w:pPr>
      <w:r>
        <w:t>pozostałe wydatki bieżące – 15 595 893,19 zł, tj. 50,13% planu wynoszącego 31 109 286,94 zł, z tego: zakup usług pozostałych 7 648 369,61 zł, zakup energii 1 888 442,70 zł, odpisy na zakładowy fundusz świadczeń socjalnych 1 487 754,02 zł, różne opłaty i sk</w:t>
      </w:r>
      <w:r>
        <w:t>ładki 1 224 252,94 zł, zakup usług przez jednostki samorządu terytorialnego od innych jednostek samorządu terytorialnego 1 133 974,08 zł, zakup materiałów i wyposażenia 568 418,59 zł, zakup środków żywności 535 512,31 zł, zakup usług remontowych 363 819,41</w:t>
      </w:r>
      <w:r>
        <w:t xml:space="preserve"> zł, zakup usług związanych z pomocą obywatelom Ukrainy 273 828,34 zł, składki na ubezpieczenie zdrowotne 145 684,28 zł, szkolenia pracowników niebędących członkami korpusu służby cywilnej  61 746,54 zł, opłaty z tytułu zakupu usług telekomunikacyjnych 56 </w:t>
      </w:r>
      <w:r>
        <w:t xml:space="preserve">871,03 zł, zakup usług obejmujących wykonanie ekspertyz, analiz i opinii 41 400,00 zł, podróże służbowe krajowe 35 925,24 zł, zwrot dotacji oraz płatności wykorzystanych niezgodnie z przeznaczeniem lub wykorzystanych z naruszeniem procedur, o których mowa </w:t>
      </w:r>
      <w:r>
        <w:t xml:space="preserve">w art. 184 ustawy, pobranych nienależnie lub w nadmiernej wysokości 32 894,22 zł, zakup środków dydaktycznych i książek 21 011,95 zł, pozostałe wydatki bieżące na zadania związane z pomocą obywatelom Ukrainy 17 783,51 zł, zakup usług zdrowotnych 16 339,30 </w:t>
      </w:r>
      <w:r>
        <w:t>zł, zakup towarów (w szczególności materiałów, leków, żywności) w związku z pomocą obywatelom Ukrainy 14 814,55 zł, wpłaty gmin na rzecz izb rolniczych w wysokości 2% uzyskanych wpływów z podatku rolnego 11 320,00 zł, opłaty na rzecz budżetów jednostek sam</w:t>
      </w:r>
      <w:r>
        <w:t>orządu terytorialnego 5 883,94 zł, odsetki od dotacji oraz płatności: wykorzystanych niezgodnie z przeznaczeniem lub wykorzystanych z naruszeniem procedur, o których mowa w art. 184 ustawy, pobranych nienależnie lub  w nadmiernej wysokości 4 589,96 zł, kos</w:t>
      </w:r>
      <w:r>
        <w:t>zty postępowania sądowego i prokuratorskiego 2 011,31 zł, nagrody konkursowe 1 350,00 zł, pozostałe podatki na rzecz budżetów jednostek samorządu terytorialnego 1 084,00 zł, wpłaty na Państwowy Fundusz Rehabilitacji Osób Niepełnosprawnych 503,00 zł, podate</w:t>
      </w:r>
      <w:r>
        <w:t>k od nieruchomości 207,00 zł, kary i odszkodowania wypłacane na rzecz osób fizycznych 101,36 zł;</w:t>
      </w:r>
    </w:p>
    <w:p w:rsidR="00BB379A" w:rsidRDefault="00F565F5">
      <w:pPr>
        <w:pStyle w:val="Akapitzlist"/>
        <w:numPr>
          <w:ilvl w:val="0"/>
          <w:numId w:val="31"/>
        </w:numPr>
        <w:jc w:val="both"/>
      </w:pPr>
      <w:r>
        <w:t>wydatki majątkowe zostały wykonane na poziomie 14 355 048,52 zł, tj. w 34,06% w stosunku do planu po zmianach wynoszącego 42 147 251,76 zł, z tego:</w:t>
      </w:r>
    </w:p>
    <w:p w:rsidR="00BB379A" w:rsidRDefault="00F565F5">
      <w:pPr>
        <w:pStyle w:val="Akapitzlist"/>
        <w:numPr>
          <w:ilvl w:val="1"/>
          <w:numId w:val="31"/>
        </w:numPr>
        <w:jc w:val="both"/>
      </w:pPr>
      <w:r>
        <w:t>wydatki inw</w:t>
      </w:r>
      <w:r>
        <w:t>estycyjne i zakupy inwestycyjne – 14 355 048,52 zł, tj. 34,06% planu wynoszącego 42 147 251,76 zł,</w:t>
      </w:r>
    </w:p>
    <w:p w:rsidR="00BB379A" w:rsidRDefault="00F565F5">
      <w:pPr>
        <w:pStyle w:val="SmallSubtitle"/>
      </w:pPr>
      <w:r>
        <w:t>Przychody i rozchody</w:t>
      </w:r>
    </w:p>
    <w:p w:rsidR="00BB379A" w:rsidRDefault="00F565F5">
      <w:pPr>
        <w:jc w:val="both"/>
      </w:pPr>
      <w:r>
        <w:t>Przychody w pierwszym półroczu 2024 roku zrealizowano w łącznej kwocie 7 049 830,56 zł, (co stanowi 91,51% planu), w tym:</w:t>
      </w:r>
    </w:p>
    <w:p w:rsidR="00BB379A" w:rsidRDefault="00F565F5">
      <w:pPr>
        <w:pStyle w:val="Akapitzlist"/>
        <w:numPr>
          <w:ilvl w:val="0"/>
          <w:numId w:val="32"/>
        </w:numPr>
        <w:jc w:val="both"/>
      </w:pPr>
      <w:r>
        <w:t>niewykorzystan</w:t>
      </w:r>
      <w:r>
        <w:t>e środki pieniężne, o których mowa w art. 217 ust. 2 pkt 8 ustawy o finansach publicznych – 6 033 239,41 zł;</w:t>
      </w:r>
    </w:p>
    <w:p w:rsidR="00BB379A" w:rsidRDefault="00F565F5">
      <w:pPr>
        <w:pStyle w:val="Akapitzlist"/>
        <w:numPr>
          <w:ilvl w:val="0"/>
          <w:numId w:val="32"/>
        </w:numPr>
        <w:jc w:val="both"/>
      </w:pPr>
      <w:r>
        <w:t>wolne środki, o których mowa w art. 217 ust. 2 pkt 6 ustawy o finansach publicznych – 1 016 591,15 zł.</w:t>
      </w:r>
    </w:p>
    <w:p w:rsidR="00BB379A" w:rsidRDefault="00F565F5">
      <w:pPr>
        <w:jc w:val="both"/>
      </w:pPr>
      <w:r>
        <w:lastRenderedPageBreak/>
        <w:t>Rozchody w pierwszym półroczu 2024 roku zrea</w:t>
      </w:r>
      <w:r>
        <w:t>lizowano w łącznej kwocie 400 000,00 zł (co stanowi 22,26% planu), w tym:</w:t>
      </w:r>
    </w:p>
    <w:p w:rsidR="00BB379A" w:rsidRDefault="00F565F5">
      <w:pPr>
        <w:pStyle w:val="Akapitzlist"/>
        <w:numPr>
          <w:ilvl w:val="0"/>
          <w:numId w:val="33"/>
        </w:numPr>
        <w:jc w:val="both"/>
      </w:pPr>
      <w:r>
        <w:t>Spłaty kredytów i pożyczek, wykup papierów wartościowych – 400 000,00 zł.</w:t>
      </w:r>
    </w:p>
    <w:sectPr w:rsidR="00BB379A">
      <w:footerReference w:type="even" r:id="rId9"/>
      <w:footerReference w:type="default" r:id="rId10"/>
      <w:footerReference w:type="first" r:id="rId11"/>
      <w:pgSz w:w="11906" w:h="16838"/>
      <w:pgMar w:top="992" w:right="1021" w:bottom="992" w:left="1021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5F5" w:rsidRDefault="00F565F5">
      <w:pPr>
        <w:spacing w:after="0" w:line="240" w:lineRule="auto"/>
      </w:pPr>
      <w:r>
        <w:separator/>
      </w:r>
    </w:p>
  </w:endnote>
  <w:endnote w:type="continuationSeparator" w:id="0">
    <w:p w:rsidR="00F565F5" w:rsidRDefault="00F5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62596"/>
      <w:docPartList>
        <w:docPartGallery w:val="Quick Parts"/>
        <w:docPartUnique/>
      </w:docPartList>
    </w:sdtPr>
    <w:sdtEndPr/>
    <w:sdtContent>
      <w:p w:rsidR="00BB379A" w:rsidRDefault="00F565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744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368985"/>
      <w:docPartList>
        <w:docPartGallery w:val="Quick Parts"/>
        <w:docPartUnique/>
      </w:docPartList>
    </w:sdtPr>
    <w:sdtEndPr/>
    <w:sdtContent>
      <w:p w:rsidR="00BB379A" w:rsidRDefault="00F565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744">
          <w:rPr>
            <w:noProof/>
          </w:rPr>
          <w:t>5</w:t>
        </w:r>
        <w:r>
          <w:fldChar w:fldCharType="end"/>
        </w:r>
      </w:p>
    </w:sdtContent>
  </w:sdt>
  <w:p w:rsidR="00BB379A" w:rsidRDefault="00BB379A">
    <w:pPr>
      <w:pStyle w:val="Stopka"/>
      <w:ind w:left="-567"/>
      <w:jc w:val="right"/>
      <w:rPr>
        <w:vanish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9A" w:rsidRDefault="00BB379A">
    <w:pPr>
      <w:pStyle w:val="Stopka"/>
      <w:ind w:left="-567"/>
      <w:rPr>
        <w:vanish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5F5" w:rsidRDefault="00F565F5">
      <w:pPr>
        <w:spacing w:after="0" w:line="240" w:lineRule="auto"/>
      </w:pPr>
      <w:r>
        <w:separator/>
      </w:r>
    </w:p>
  </w:footnote>
  <w:footnote w:type="continuationSeparator" w:id="0">
    <w:p w:rsidR="00F565F5" w:rsidRDefault="00F56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676B"/>
    <w:multiLevelType w:val="multilevel"/>
    <w:tmpl w:val="E53CBEF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223B36"/>
    <w:multiLevelType w:val="hybridMultilevel"/>
    <w:tmpl w:val="CD827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83995"/>
    <w:multiLevelType w:val="hybridMultilevel"/>
    <w:tmpl w:val="1E841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51982"/>
    <w:multiLevelType w:val="hybridMultilevel"/>
    <w:tmpl w:val="3E907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3249D"/>
    <w:multiLevelType w:val="hybridMultilevel"/>
    <w:tmpl w:val="9CF26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7535A"/>
    <w:multiLevelType w:val="multilevel"/>
    <w:tmpl w:val="42CC184E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>
    <w:nsid w:val="18B17914"/>
    <w:multiLevelType w:val="multilevel"/>
    <w:tmpl w:val="0858593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nsid w:val="1B43031C"/>
    <w:multiLevelType w:val="hybridMultilevel"/>
    <w:tmpl w:val="71961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0FAB9"/>
    <w:multiLevelType w:val="multilevel"/>
    <w:tmpl w:val="BBAAF428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>
    <w:nsid w:val="269A1ED4"/>
    <w:multiLevelType w:val="multilevel"/>
    <w:tmpl w:val="4B5C8A7A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>
    <w:nsid w:val="27483732"/>
    <w:multiLevelType w:val="hybridMultilevel"/>
    <w:tmpl w:val="5A586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80872"/>
    <w:multiLevelType w:val="multilevel"/>
    <w:tmpl w:val="F9A84998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>
    <w:nsid w:val="3C3541C9"/>
    <w:multiLevelType w:val="multilevel"/>
    <w:tmpl w:val="9E78EC12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>
    <w:nsid w:val="4108C89E"/>
    <w:multiLevelType w:val="multilevel"/>
    <w:tmpl w:val="00FADFA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>
    <w:nsid w:val="433B7B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53D6AC4"/>
    <w:multiLevelType w:val="multilevel"/>
    <w:tmpl w:val="516642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>
    <w:nsid w:val="457C677D"/>
    <w:multiLevelType w:val="hybridMultilevel"/>
    <w:tmpl w:val="BB64614E"/>
    <w:lvl w:ilvl="0" w:tplc="CBD8A3CE">
      <w:start w:val="1"/>
      <w:numFmt w:val="decimal"/>
      <w:lvlText w:val="%1."/>
      <w:lvlJc w:val="left"/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A5C89"/>
    <w:multiLevelType w:val="multilevel"/>
    <w:tmpl w:val="6102EEF8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>
    <w:nsid w:val="4AD10A42"/>
    <w:multiLevelType w:val="multilevel"/>
    <w:tmpl w:val="40427878"/>
    <w:lvl w:ilvl="0">
      <w:start w:val="1"/>
      <w:numFmt w:val="decimal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ind w:left="0" w:firstLine="0"/>
      </w:pPr>
    </w:lvl>
    <w:lvl w:ilvl="3">
      <w:start w:val="1"/>
      <w:numFmt w:val="decimal"/>
      <w:pStyle w:val="Styl3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C8A7568"/>
    <w:multiLevelType w:val="multilevel"/>
    <w:tmpl w:val="21062E4A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>
    <w:nsid w:val="557E19A3"/>
    <w:multiLevelType w:val="multilevel"/>
    <w:tmpl w:val="2A208C5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5C85DC49"/>
    <w:multiLevelType w:val="multilevel"/>
    <w:tmpl w:val="110090D4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>
    <w:nsid w:val="63DB04CC"/>
    <w:multiLevelType w:val="hybridMultilevel"/>
    <w:tmpl w:val="167E6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718CE"/>
    <w:multiLevelType w:val="multilevel"/>
    <w:tmpl w:val="1200F59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9E71DAD"/>
    <w:multiLevelType w:val="hybridMultilevel"/>
    <w:tmpl w:val="63788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A64E3E"/>
    <w:multiLevelType w:val="multilevel"/>
    <w:tmpl w:val="DCC4CC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6D474CF"/>
    <w:multiLevelType w:val="multilevel"/>
    <w:tmpl w:val="5A40A89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7">
    <w:nsid w:val="7A58CB44"/>
    <w:multiLevelType w:val="multilevel"/>
    <w:tmpl w:val="ACD04A2E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>
    <w:nsid w:val="7E819FBD"/>
    <w:multiLevelType w:val="multilevel"/>
    <w:tmpl w:val="2146E794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4"/>
  </w:num>
  <w:num w:numId="2">
    <w:abstractNumId w:val="24"/>
  </w:num>
  <w:num w:numId="3">
    <w:abstractNumId w:val="2"/>
  </w:num>
  <w:num w:numId="4">
    <w:abstractNumId w:val="25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0"/>
  </w:num>
  <w:num w:numId="10">
    <w:abstractNumId w:val="26"/>
  </w:num>
  <w:num w:numId="11">
    <w:abstractNumId w:val="2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7"/>
  </w:num>
  <w:num w:numId="16">
    <w:abstractNumId w:val="16"/>
  </w:num>
  <w:num w:numId="17">
    <w:abstractNumId w:val="18"/>
  </w:num>
  <w:num w:numId="18">
    <w:abstractNumId w:val="14"/>
  </w:num>
  <w:num w:numId="19">
    <w:abstractNumId w:val="10"/>
  </w:num>
  <w:num w:numId="20">
    <w:abstractNumId w:val="22"/>
  </w:num>
  <w:num w:numId="21">
    <w:abstractNumId w:val="15"/>
  </w:num>
  <w:num w:numId="22">
    <w:abstractNumId w:val="23"/>
  </w:num>
  <w:num w:numId="23">
    <w:abstractNumId w:val="28"/>
  </w:num>
  <w:num w:numId="24">
    <w:abstractNumId w:val="11"/>
  </w:num>
  <w:num w:numId="25">
    <w:abstractNumId w:val="8"/>
  </w:num>
  <w:num w:numId="26">
    <w:abstractNumId w:val="27"/>
  </w:num>
  <w:num w:numId="27">
    <w:abstractNumId w:val="21"/>
  </w:num>
  <w:num w:numId="28">
    <w:abstractNumId w:val="13"/>
  </w:num>
  <w:num w:numId="29">
    <w:abstractNumId w:val="5"/>
  </w:num>
  <w:num w:numId="30">
    <w:abstractNumId w:val="12"/>
  </w:num>
  <w:num w:numId="31">
    <w:abstractNumId w:val="19"/>
  </w:num>
  <w:num w:numId="32">
    <w:abstractNumId w:val="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9A"/>
    <w:rsid w:val="00AF5744"/>
    <w:rsid w:val="00BB379A"/>
    <w:rsid w:val="00F5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76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autoRedefine/>
    <w:qFormat/>
    <w:pPr>
      <w:keepNext/>
      <w:keepLines/>
      <w:numPr>
        <w:numId w:val="17"/>
      </w:numPr>
      <w:spacing w:before="840" w:after="840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qFormat/>
    <w:pPr>
      <w:keepNext/>
      <w:keepLines/>
      <w:numPr>
        <w:ilvl w:val="1"/>
        <w:numId w:val="17"/>
      </w:numPr>
      <w:spacing w:before="480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</w:rPr>
  </w:style>
  <w:style w:type="paragraph" w:styleId="Nagwek3">
    <w:name w:val="heading 3"/>
    <w:basedOn w:val="Normalny"/>
    <w:next w:val="Normalny"/>
    <w:link w:val="Nagwek3Znak"/>
    <w:autoRedefine/>
    <w:qFormat/>
    <w:pPr>
      <w:keepNext/>
      <w:keepLines/>
      <w:numPr>
        <w:ilvl w:val="2"/>
        <w:numId w:val="17"/>
      </w:numPr>
      <w:spacing w:before="480" w:after="40" w:line="360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3C3F49"/>
      <w:szCs w:val="20"/>
    </w:rPr>
  </w:style>
  <w:style w:type="paragraph" w:styleId="Nagwek4">
    <w:name w:val="heading 4"/>
    <w:basedOn w:val="Normalny"/>
    <w:next w:val="Normalny"/>
    <w:link w:val="Nagwek4Znak"/>
    <w:semiHidden/>
    <w:qFormat/>
    <w:pPr>
      <w:keepNext/>
      <w:keepLines/>
      <w:spacing w:before="240" w:after="40"/>
      <w:outlineLvl w:val="3"/>
    </w:pPr>
    <w:rPr>
      <w:rFonts w:asciiTheme="majorHAnsi" w:eastAsiaTheme="majorEastAsia" w:hAnsiTheme="majorHAnsi" w:cstheme="majorBidi"/>
      <w:b/>
      <w:iCs/>
      <w:smallCaps/>
      <w:color w:val="234466" w:themeColor="accent1" w:themeShade="BF"/>
      <w:szCs w:val="20"/>
    </w:rPr>
  </w:style>
  <w:style w:type="paragraph" w:styleId="Nagwek5">
    <w:name w:val="heading 5"/>
    <w:next w:val="Normalny"/>
    <w:pPr>
      <w:keepNext/>
      <w:spacing w:before="240" w:after="120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qFormat/>
    <w:pPr>
      <w:spacing w:before="840" w:after="300" w:line="240" w:lineRule="auto"/>
      <w:contextualSpacing/>
      <w:jc w:val="center"/>
    </w:pPr>
    <w:rPr>
      <w:rFonts w:eastAsiaTheme="majorEastAsia" w:cstheme="majorBidi"/>
      <w:b/>
      <w:color w:val="3C3F49" w:themeColor="text2"/>
      <w:spacing w:val="5"/>
      <w:kern w:val="28"/>
      <w:sz w:val="72"/>
      <w:szCs w:val="48"/>
    </w:rPr>
  </w:style>
  <w:style w:type="paragraph" w:styleId="Podtytu">
    <w:name w:val="Subtitle"/>
    <w:basedOn w:val="Normalny"/>
    <w:next w:val="Normalny"/>
    <w:link w:val="PodtytuZnak"/>
    <w:autoRedefine/>
    <w:qFormat/>
    <w:rPr>
      <w:rFonts w:eastAsiaTheme="minorEastAsia"/>
      <w:color w:val="auto"/>
      <w:szCs w:val="14"/>
    </w:rPr>
  </w:style>
  <w:style w:type="paragraph" w:styleId="Akapitzlist">
    <w:name w:val="List Paragraph"/>
    <w:basedOn w:val="Normalny"/>
    <w:autoRedefine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/>
      <w:ind w:left="864" w:right="864"/>
      <w:jc w:val="center"/>
    </w:pPr>
    <w:rPr>
      <w:i/>
      <w:iCs/>
      <w:color w:val="006139" w:themeColor="accent6"/>
    </w:rPr>
  </w:style>
  <w:style w:type="paragraph" w:styleId="Cytat">
    <w:name w:val="Quote"/>
    <w:aliases w:val="Uwaga"/>
    <w:basedOn w:val="Normalny"/>
    <w:next w:val="Normalny"/>
    <w:link w:val="CytatZnak"/>
    <w:autoRedefine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/>
      <w:ind w:left="862" w:right="862"/>
      <w:contextualSpacing/>
      <w:jc w:val="center"/>
    </w:pPr>
    <w:rPr>
      <w:i/>
      <w:iCs/>
      <w:color w:val="D90912" w:themeColor="accent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before="240" w:after="0" w:line="240" w:lineRule="auto"/>
    </w:pPr>
    <w:rPr>
      <w:sz w:val="18"/>
    </w:rPr>
  </w:style>
  <w:style w:type="paragraph" w:styleId="Nagwekspisutreci">
    <w:name w:val="TOC Heading"/>
    <w:basedOn w:val="Nagwek1"/>
    <w:next w:val="Normalny"/>
    <w:qFormat/>
    <w:pPr>
      <w:spacing w:line="259" w:lineRule="auto"/>
      <w:outlineLvl w:val="9"/>
    </w:pPr>
    <w:rPr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pPr>
      <w:spacing w:before="240" w:after="0"/>
    </w:pPr>
    <w:rPr>
      <w:rFonts w:cs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pPr>
      <w:spacing w:before="120" w:after="0"/>
    </w:pPr>
    <w:rPr>
      <w:rFonts w:cstheme="minorHAnsi"/>
      <w:b/>
      <w:bCs/>
    </w:rPr>
  </w:style>
  <w:style w:type="paragraph" w:styleId="Spistreci3">
    <w:name w:val="toc 3"/>
    <w:basedOn w:val="Normalny"/>
    <w:next w:val="Normalny"/>
    <w:autoRedefine/>
    <w:pPr>
      <w:spacing w:after="0"/>
      <w:ind w:left="200"/>
    </w:pPr>
    <w:rPr>
      <w:rFonts w:cstheme="minorHAnsi"/>
    </w:rPr>
  </w:style>
  <w:style w:type="paragraph" w:styleId="Spistreci4">
    <w:name w:val="toc 4"/>
    <w:basedOn w:val="Normalny"/>
    <w:next w:val="Normalny"/>
    <w:autoRedefine/>
    <w:pPr>
      <w:spacing w:after="0"/>
      <w:ind w:left="400"/>
    </w:pPr>
    <w:rPr>
      <w:rFonts w:cstheme="minorHAnsi"/>
    </w:rPr>
  </w:style>
  <w:style w:type="paragraph" w:styleId="Spistreci5">
    <w:name w:val="toc 5"/>
    <w:basedOn w:val="Normalny"/>
    <w:next w:val="Normalny"/>
    <w:autoRedefine/>
    <w:pPr>
      <w:spacing w:after="0"/>
      <w:ind w:left="600"/>
    </w:pPr>
    <w:rPr>
      <w:rFonts w:cstheme="minorHAnsi"/>
    </w:rPr>
  </w:style>
  <w:style w:type="paragraph" w:styleId="Spistreci6">
    <w:name w:val="toc 6"/>
    <w:basedOn w:val="Normalny"/>
    <w:next w:val="Normalny"/>
    <w:autoRedefine/>
    <w:pPr>
      <w:spacing w:after="0"/>
      <w:ind w:left="800"/>
    </w:pPr>
    <w:rPr>
      <w:rFonts w:cstheme="minorHAnsi"/>
    </w:rPr>
  </w:style>
  <w:style w:type="paragraph" w:styleId="Spistreci7">
    <w:name w:val="toc 7"/>
    <w:basedOn w:val="Normalny"/>
    <w:next w:val="Normalny"/>
    <w:autoRedefine/>
    <w:pPr>
      <w:spacing w:after="0"/>
      <w:ind w:left="1000"/>
    </w:pPr>
    <w:rPr>
      <w:rFonts w:cstheme="minorHAnsi"/>
    </w:rPr>
  </w:style>
  <w:style w:type="paragraph" w:styleId="Spistreci8">
    <w:name w:val="toc 8"/>
    <w:basedOn w:val="Normalny"/>
    <w:next w:val="Normalny"/>
    <w:autoRedefine/>
    <w:pPr>
      <w:spacing w:after="0"/>
      <w:ind w:left="1200"/>
    </w:pPr>
    <w:rPr>
      <w:rFonts w:cstheme="minorHAnsi"/>
    </w:rPr>
  </w:style>
  <w:style w:type="paragraph" w:styleId="Spistreci9">
    <w:name w:val="toc 9"/>
    <w:basedOn w:val="Normalny"/>
    <w:next w:val="Normalny"/>
    <w:autoRedefine/>
    <w:pPr>
      <w:spacing w:after="0"/>
      <w:ind w:left="1400"/>
    </w:pPr>
    <w:rPr>
      <w:rFonts w:cstheme="minorHAnsi"/>
    </w:rPr>
  </w:style>
  <w:style w:type="paragraph" w:styleId="Tekstkomentarza">
    <w:name w:val="annotation text"/>
    <w:basedOn w:val="Normalny"/>
    <w:link w:val="TekstkomentarzaZnak"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Legenda">
    <w:name w:val="caption"/>
    <w:basedOn w:val="Normalny"/>
    <w:next w:val="Normalny"/>
    <w:qFormat/>
    <w:pPr>
      <w:spacing w:after="200" w:line="240" w:lineRule="auto"/>
    </w:pPr>
    <w:rPr>
      <w:i/>
      <w:iCs/>
      <w:color w:val="3C3F49" w:themeColor="text2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pPr>
      <w:spacing w:after="0" w:line="240" w:lineRule="auto"/>
    </w:pPr>
  </w:style>
  <w:style w:type="paragraph" w:customStyle="1" w:styleId="Styl1">
    <w:name w:val="Styl1"/>
    <w:basedOn w:val="Podtytu"/>
    <w:link w:val="Styl1Znak"/>
    <w:qFormat/>
  </w:style>
  <w:style w:type="paragraph" w:customStyle="1" w:styleId="Naglowek4">
    <w:name w:val="Naglowek 4"/>
    <w:basedOn w:val="Nagwek3"/>
    <w:next w:val="Nagwek4"/>
    <w:qFormat/>
    <w:pPr>
      <w:spacing w:before="120" w:after="120"/>
    </w:pPr>
  </w:style>
  <w:style w:type="paragraph" w:customStyle="1" w:styleId="Styl2">
    <w:name w:val="Styl2"/>
    <w:basedOn w:val="Nagwek3"/>
    <w:next w:val="Naglowek4"/>
    <w:qFormat/>
  </w:style>
  <w:style w:type="paragraph" w:customStyle="1" w:styleId="Styl3">
    <w:name w:val="Styl3"/>
    <w:basedOn w:val="Nagwek3"/>
    <w:qFormat/>
    <w:pPr>
      <w:numPr>
        <w:ilvl w:val="3"/>
      </w:numPr>
    </w:pPr>
  </w:style>
  <w:style w:type="paragraph" w:customStyle="1" w:styleId="Styl31">
    <w:name w:val="Styl31"/>
    <w:basedOn w:val="Nagwek3"/>
    <w:next w:val="Styl3"/>
    <w:qFormat/>
    <w:pPr>
      <w:numPr>
        <w:numId w:val="0"/>
      </w:numPr>
      <w:ind w:left="1080" w:hanging="1080"/>
    </w:pPr>
  </w:style>
  <w:style w:type="paragraph" w:customStyle="1" w:styleId="SmallTitle">
    <w:name w:val="SmallTitle"/>
    <w:basedOn w:val="Normalny"/>
    <w:link w:val="SmallTitleZnak"/>
    <w:qFormat/>
    <w:pPr>
      <w:spacing w:line="259" w:lineRule="auto"/>
      <w:jc w:val="center"/>
    </w:pPr>
    <w:rPr>
      <w:b/>
      <w:bCs/>
    </w:rPr>
  </w:style>
  <w:style w:type="paragraph" w:customStyle="1" w:styleId="SmallSubtitle">
    <w:name w:val="SmallSubtitle"/>
    <w:basedOn w:val="Normalny"/>
    <w:link w:val="SmallSubtitleZnak"/>
    <w:qFormat/>
    <w:pPr>
      <w:keepNext/>
      <w:spacing w:before="240"/>
    </w:pPr>
    <w:rPr>
      <w:b/>
      <w:caps/>
      <w:lang w:val="en-US"/>
    </w:rPr>
  </w:style>
  <w:style w:type="paragraph" w:styleId="Tekstprzypisudolnego">
    <w:name w:val="footnote text"/>
    <w:link w:val="TekstprzypisudolnegoZnak"/>
    <w:semiHidden/>
    <w:pPr>
      <w:spacing w:after="0" w:line="240" w:lineRule="auto"/>
    </w:pPr>
    <w:rPr>
      <w:szCs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basedOn w:val="Domylnaczcionkaakapitu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Pr>
      <w:rFonts w:asciiTheme="majorHAnsi" w:eastAsiaTheme="majorEastAsia" w:hAnsiTheme="majorHAnsi" w:cstheme="majorBidi"/>
      <w:b/>
      <w:color w:val="2F5C89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Pr>
      <w:rFonts w:asciiTheme="majorHAnsi" w:eastAsiaTheme="majorEastAsia" w:hAnsiTheme="majorHAnsi" w:cstheme="majorBidi"/>
      <w:b/>
      <w:smallCaps/>
      <w:color w:val="234466" w:themeColor="accent1" w:themeShade="BF"/>
    </w:rPr>
  </w:style>
  <w:style w:type="character" w:customStyle="1" w:styleId="TytuZnak">
    <w:name w:val="Tytuł Znak"/>
    <w:basedOn w:val="Domylnaczcionkaakapitu"/>
    <w:link w:val="Tytu"/>
    <w:rPr>
      <w:rFonts w:ascii="Times New Roman" w:eastAsiaTheme="majorEastAsia" w:hAnsi="Times New Roman" w:cstheme="majorBidi"/>
      <w:b/>
      <w:color w:val="3C3F49" w:themeColor="text2"/>
      <w:spacing w:val="5"/>
      <w:kern w:val="28"/>
      <w:sz w:val="72"/>
      <w:szCs w:val="48"/>
    </w:rPr>
  </w:style>
  <w:style w:type="character" w:customStyle="1" w:styleId="PodtytuZnak">
    <w:name w:val="Podtytuł Znak"/>
    <w:basedOn w:val="Domylnaczcionkaakapitu"/>
    <w:link w:val="Podtytu"/>
    <w:rPr>
      <w:rFonts w:eastAsiaTheme="minorEastAsia"/>
      <w:color w:val="auto"/>
      <w:szCs w:val="14"/>
    </w:rPr>
  </w:style>
  <w:style w:type="character" w:customStyle="1" w:styleId="Nagwek3Znak">
    <w:name w:val="Nagłówek 3 Znak"/>
    <w:basedOn w:val="Domylnaczcionkaakapitu"/>
    <w:link w:val="Nagwek3"/>
    <w:rPr>
      <w:rFonts w:asciiTheme="majorHAnsi" w:eastAsiaTheme="majorEastAsia" w:hAnsiTheme="majorHAnsi" w:cstheme="majorBidi"/>
      <w:b/>
      <w:smallCaps/>
      <w:color w:val="3C3F49"/>
      <w:sz w:val="20"/>
      <w:szCs w:val="20"/>
    </w:rPr>
  </w:style>
  <w:style w:type="character" w:styleId="Wyrnieniedelikatne">
    <w:name w:val="Subtle Emphasis"/>
    <w:aliases w:val="Źródło"/>
    <w:basedOn w:val="Domylnaczcionkaakapitu"/>
    <w:rPr>
      <w:i/>
      <w:iCs/>
      <w:color w:val="404040" w:themeColor="text1" w:themeTint="BF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Segoe UI" w:hAnsi="Segoe UI" w:cs="Segoe UI"/>
      <w:color w:val="121313" w:themeColor="background2" w:themeShade="19"/>
      <w:sz w:val="18"/>
      <w:szCs w:val="18"/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rPr>
      <w:i/>
      <w:iCs/>
      <w:color w:val="006139" w:themeColor="accent6"/>
      <w:sz w:val="20"/>
      <w:shd w:val="clear" w:color="auto" w:fill="E1F5F5"/>
    </w:rPr>
  </w:style>
  <w:style w:type="character" w:customStyle="1" w:styleId="CytatZnak">
    <w:name w:val="Cytat Znak"/>
    <w:aliases w:val="Uwaga Znak"/>
    <w:basedOn w:val="Domylnaczcionkaakapitu"/>
    <w:link w:val="Cytat"/>
    <w:rPr>
      <w:i/>
      <w:iCs/>
      <w:color w:val="D90912" w:themeColor="accent4"/>
      <w:sz w:val="20"/>
      <w:shd w:val="clear" w:color="auto" w:fill="FFF5F5"/>
    </w:rPr>
  </w:style>
  <w:style w:type="character" w:customStyle="1" w:styleId="NagwekZnak">
    <w:name w:val="Nagłówek Znak"/>
    <w:basedOn w:val="Domylnaczcionkaakapitu"/>
    <w:link w:val="Nagwek"/>
    <w:rPr>
      <w:color w:val="121313" w:themeColor="background2" w:themeShade="19"/>
      <w:sz w:val="20"/>
    </w:rPr>
  </w:style>
  <w:style w:type="character" w:customStyle="1" w:styleId="StopkaZnak">
    <w:name w:val="Stopka Znak"/>
    <w:basedOn w:val="Domylnaczcionkaakapitu"/>
    <w:link w:val="Stopka"/>
    <w:rPr>
      <w:rFonts w:ascii="Times New Roman" w:hAnsi="Times New Roman"/>
      <w:sz w:val="18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</w:style>
  <w:style w:type="character" w:customStyle="1" w:styleId="TematkomentarzaZnak">
    <w:name w:val="Temat komentarza Znak"/>
    <w:basedOn w:val="TekstkomentarzaZnak"/>
    <w:link w:val="Tematkomentarza"/>
    <w:semiHidden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character" w:customStyle="1" w:styleId="Styl1Znak">
    <w:name w:val="Styl1 Znak"/>
    <w:basedOn w:val="PodtytuZnak"/>
    <w:link w:val="Styl1"/>
    <w:rPr>
      <w:rFonts w:eastAsiaTheme="minorEastAsia"/>
      <w:color w:val="auto"/>
      <w:szCs w:val="14"/>
    </w:rPr>
  </w:style>
  <w:style w:type="character" w:customStyle="1" w:styleId="Nagwek4Znak">
    <w:name w:val="Nagłówek 4 Znak"/>
    <w:basedOn w:val="Domylnaczcionkaakapitu"/>
    <w:link w:val="Nagwek4"/>
    <w:semiHidden/>
    <w:rPr>
      <w:rFonts w:asciiTheme="majorHAnsi" w:eastAsiaTheme="majorEastAsia" w:hAnsiTheme="majorHAnsi" w:cstheme="majorBidi"/>
      <w:b/>
      <w:iCs/>
      <w:smallCaps/>
      <w:color w:val="234466" w:themeColor="accent1" w:themeShade="BF"/>
      <w:szCs w:val="20"/>
    </w:rPr>
  </w:style>
  <w:style w:type="character" w:customStyle="1" w:styleId="SmallTitleZnak">
    <w:name w:val="SmallTitle Znak"/>
    <w:basedOn w:val="Domylnaczcionkaakapitu"/>
    <w:link w:val="SmallTitle"/>
    <w:rPr>
      <w:rFonts w:ascii="Times New Roman" w:hAnsi="Times New Roman"/>
      <w:b/>
      <w:bCs/>
    </w:rPr>
  </w:style>
  <w:style w:type="character" w:customStyle="1" w:styleId="SmallSubtitleZnak">
    <w:name w:val="SmallSubtitle Znak"/>
    <w:basedOn w:val="Domylnaczcionkaakapitu"/>
    <w:link w:val="SmallSubtitle"/>
    <w:rPr>
      <w:rFonts w:ascii="Times New Roman" w:hAnsi="Times New Roman"/>
      <w:b/>
      <w:caps/>
      <w:lang w:val="en-US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urulis">
    <w:name w:val="Tabela Curulis"/>
    <w:basedOn w:val="Standardowy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4" w:space="0" w:color="DADBDC" w:themeColor="background2" w:themeTint="99"/>
        <w:insideH w:val="single" w:sz="4" w:space="0" w:color="DADBDC" w:themeColor="background2" w:themeTint="99"/>
        <w:insideV w:val="single" w:sz="4" w:space="0" w:color="DADBDC" w:themeColor="background2" w:themeTint="99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2"/>
      </w:tcPr>
    </w:tblStylePr>
  </w:style>
  <w:style w:type="table" w:customStyle="1" w:styleId="TabelaCurulisLiczby">
    <w:name w:val="Tabela Curulis Liczby"/>
    <w:basedOn w:val="TabelaCurulis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2"/>
      </w:tcPr>
    </w:tblStylePr>
  </w:style>
  <w:style w:type="table" w:customStyle="1" w:styleId="TabelaCurulisEco">
    <w:name w:val="Tabela Curulis Eco"/>
    <w:basedOn w:val="TabelaCurulis"/>
    <w:pPr>
      <w:spacing w:line="240" w:lineRule="auto"/>
    </w:pPr>
    <w:tblPr>
      <w:tblStyleRowBandSize w:val="1"/>
      <w:tblStyleColBandSize w:val="1"/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vanish w:val="0"/>
        <w:color w:val="000000" w:themeColor="text1"/>
        <w:sz w:val="18"/>
        <w:vertAlign w:val="baseline"/>
      </w:rPr>
      <w:tblPr/>
      <w:tcPr>
        <w:tcBorders>
          <w:top w:val="nil"/>
          <w:left w:val="nil"/>
          <w:bottom w:val="single" w:sz="4" w:space="0" w:color="8F9296" w:themeColor="background2" w:themeShade="BF"/>
          <w:right w:val="nil"/>
          <w:insideH w:val="single" w:sz="4" w:space="0" w:color="8F9296" w:themeColor="background2" w:themeShade="BF"/>
          <w:insideV w:val="single" w:sz="4" w:space="0" w:color="8F9296" w:themeColor="background2" w:themeShade="BF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76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autoRedefine/>
    <w:qFormat/>
    <w:pPr>
      <w:keepNext/>
      <w:keepLines/>
      <w:numPr>
        <w:numId w:val="17"/>
      </w:numPr>
      <w:spacing w:before="840" w:after="840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qFormat/>
    <w:pPr>
      <w:keepNext/>
      <w:keepLines/>
      <w:numPr>
        <w:ilvl w:val="1"/>
        <w:numId w:val="17"/>
      </w:numPr>
      <w:spacing w:before="480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</w:rPr>
  </w:style>
  <w:style w:type="paragraph" w:styleId="Nagwek3">
    <w:name w:val="heading 3"/>
    <w:basedOn w:val="Normalny"/>
    <w:next w:val="Normalny"/>
    <w:link w:val="Nagwek3Znak"/>
    <w:autoRedefine/>
    <w:qFormat/>
    <w:pPr>
      <w:keepNext/>
      <w:keepLines/>
      <w:numPr>
        <w:ilvl w:val="2"/>
        <w:numId w:val="17"/>
      </w:numPr>
      <w:spacing w:before="480" w:after="40" w:line="360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3C3F49"/>
      <w:szCs w:val="20"/>
    </w:rPr>
  </w:style>
  <w:style w:type="paragraph" w:styleId="Nagwek4">
    <w:name w:val="heading 4"/>
    <w:basedOn w:val="Normalny"/>
    <w:next w:val="Normalny"/>
    <w:link w:val="Nagwek4Znak"/>
    <w:semiHidden/>
    <w:qFormat/>
    <w:pPr>
      <w:keepNext/>
      <w:keepLines/>
      <w:spacing w:before="240" w:after="40"/>
      <w:outlineLvl w:val="3"/>
    </w:pPr>
    <w:rPr>
      <w:rFonts w:asciiTheme="majorHAnsi" w:eastAsiaTheme="majorEastAsia" w:hAnsiTheme="majorHAnsi" w:cstheme="majorBidi"/>
      <w:b/>
      <w:iCs/>
      <w:smallCaps/>
      <w:color w:val="234466" w:themeColor="accent1" w:themeShade="BF"/>
      <w:szCs w:val="20"/>
    </w:rPr>
  </w:style>
  <w:style w:type="paragraph" w:styleId="Nagwek5">
    <w:name w:val="heading 5"/>
    <w:next w:val="Normalny"/>
    <w:pPr>
      <w:keepNext/>
      <w:spacing w:before="240" w:after="120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qFormat/>
    <w:pPr>
      <w:spacing w:before="840" w:after="300" w:line="240" w:lineRule="auto"/>
      <w:contextualSpacing/>
      <w:jc w:val="center"/>
    </w:pPr>
    <w:rPr>
      <w:rFonts w:eastAsiaTheme="majorEastAsia" w:cstheme="majorBidi"/>
      <w:b/>
      <w:color w:val="3C3F49" w:themeColor="text2"/>
      <w:spacing w:val="5"/>
      <w:kern w:val="28"/>
      <w:sz w:val="72"/>
      <w:szCs w:val="48"/>
    </w:rPr>
  </w:style>
  <w:style w:type="paragraph" w:styleId="Podtytu">
    <w:name w:val="Subtitle"/>
    <w:basedOn w:val="Normalny"/>
    <w:next w:val="Normalny"/>
    <w:link w:val="PodtytuZnak"/>
    <w:autoRedefine/>
    <w:qFormat/>
    <w:rPr>
      <w:rFonts w:eastAsiaTheme="minorEastAsia"/>
      <w:color w:val="auto"/>
      <w:szCs w:val="14"/>
    </w:rPr>
  </w:style>
  <w:style w:type="paragraph" w:styleId="Akapitzlist">
    <w:name w:val="List Paragraph"/>
    <w:basedOn w:val="Normalny"/>
    <w:autoRedefine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/>
      <w:ind w:left="864" w:right="864"/>
      <w:jc w:val="center"/>
    </w:pPr>
    <w:rPr>
      <w:i/>
      <w:iCs/>
      <w:color w:val="006139" w:themeColor="accent6"/>
    </w:rPr>
  </w:style>
  <w:style w:type="paragraph" w:styleId="Cytat">
    <w:name w:val="Quote"/>
    <w:aliases w:val="Uwaga"/>
    <w:basedOn w:val="Normalny"/>
    <w:next w:val="Normalny"/>
    <w:link w:val="CytatZnak"/>
    <w:autoRedefine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/>
      <w:ind w:left="862" w:right="862"/>
      <w:contextualSpacing/>
      <w:jc w:val="center"/>
    </w:pPr>
    <w:rPr>
      <w:i/>
      <w:iCs/>
      <w:color w:val="D90912" w:themeColor="accent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before="240" w:after="0" w:line="240" w:lineRule="auto"/>
    </w:pPr>
    <w:rPr>
      <w:sz w:val="18"/>
    </w:rPr>
  </w:style>
  <w:style w:type="paragraph" w:styleId="Nagwekspisutreci">
    <w:name w:val="TOC Heading"/>
    <w:basedOn w:val="Nagwek1"/>
    <w:next w:val="Normalny"/>
    <w:qFormat/>
    <w:pPr>
      <w:spacing w:line="259" w:lineRule="auto"/>
      <w:outlineLvl w:val="9"/>
    </w:pPr>
    <w:rPr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pPr>
      <w:spacing w:before="240" w:after="0"/>
    </w:pPr>
    <w:rPr>
      <w:rFonts w:cs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pPr>
      <w:spacing w:before="120" w:after="0"/>
    </w:pPr>
    <w:rPr>
      <w:rFonts w:cstheme="minorHAnsi"/>
      <w:b/>
      <w:bCs/>
    </w:rPr>
  </w:style>
  <w:style w:type="paragraph" w:styleId="Spistreci3">
    <w:name w:val="toc 3"/>
    <w:basedOn w:val="Normalny"/>
    <w:next w:val="Normalny"/>
    <w:autoRedefine/>
    <w:pPr>
      <w:spacing w:after="0"/>
      <w:ind w:left="200"/>
    </w:pPr>
    <w:rPr>
      <w:rFonts w:cstheme="minorHAnsi"/>
    </w:rPr>
  </w:style>
  <w:style w:type="paragraph" w:styleId="Spistreci4">
    <w:name w:val="toc 4"/>
    <w:basedOn w:val="Normalny"/>
    <w:next w:val="Normalny"/>
    <w:autoRedefine/>
    <w:pPr>
      <w:spacing w:after="0"/>
      <w:ind w:left="400"/>
    </w:pPr>
    <w:rPr>
      <w:rFonts w:cstheme="minorHAnsi"/>
    </w:rPr>
  </w:style>
  <w:style w:type="paragraph" w:styleId="Spistreci5">
    <w:name w:val="toc 5"/>
    <w:basedOn w:val="Normalny"/>
    <w:next w:val="Normalny"/>
    <w:autoRedefine/>
    <w:pPr>
      <w:spacing w:after="0"/>
      <w:ind w:left="600"/>
    </w:pPr>
    <w:rPr>
      <w:rFonts w:cstheme="minorHAnsi"/>
    </w:rPr>
  </w:style>
  <w:style w:type="paragraph" w:styleId="Spistreci6">
    <w:name w:val="toc 6"/>
    <w:basedOn w:val="Normalny"/>
    <w:next w:val="Normalny"/>
    <w:autoRedefine/>
    <w:pPr>
      <w:spacing w:after="0"/>
      <w:ind w:left="800"/>
    </w:pPr>
    <w:rPr>
      <w:rFonts w:cstheme="minorHAnsi"/>
    </w:rPr>
  </w:style>
  <w:style w:type="paragraph" w:styleId="Spistreci7">
    <w:name w:val="toc 7"/>
    <w:basedOn w:val="Normalny"/>
    <w:next w:val="Normalny"/>
    <w:autoRedefine/>
    <w:pPr>
      <w:spacing w:after="0"/>
      <w:ind w:left="1000"/>
    </w:pPr>
    <w:rPr>
      <w:rFonts w:cstheme="minorHAnsi"/>
    </w:rPr>
  </w:style>
  <w:style w:type="paragraph" w:styleId="Spistreci8">
    <w:name w:val="toc 8"/>
    <w:basedOn w:val="Normalny"/>
    <w:next w:val="Normalny"/>
    <w:autoRedefine/>
    <w:pPr>
      <w:spacing w:after="0"/>
      <w:ind w:left="1200"/>
    </w:pPr>
    <w:rPr>
      <w:rFonts w:cstheme="minorHAnsi"/>
    </w:rPr>
  </w:style>
  <w:style w:type="paragraph" w:styleId="Spistreci9">
    <w:name w:val="toc 9"/>
    <w:basedOn w:val="Normalny"/>
    <w:next w:val="Normalny"/>
    <w:autoRedefine/>
    <w:pPr>
      <w:spacing w:after="0"/>
      <w:ind w:left="1400"/>
    </w:pPr>
    <w:rPr>
      <w:rFonts w:cstheme="minorHAnsi"/>
    </w:rPr>
  </w:style>
  <w:style w:type="paragraph" w:styleId="Tekstkomentarza">
    <w:name w:val="annotation text"/>
    <w:basedOn w:val="Normalny"/>
    <w:link w:val="TekstkomentarzaZnak"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Legenda">
    <w:name w:val="caption"/>
    <w:basedOn w:val="Normalny"/>
    <w:next w:val="Normalny"/>
    <w:qFormat/>
    <w:pPr>
      <w:spacing w:after="200" w:line="240" w:lineRule="auto"/>
    </w:pPr>
    <w:rPr>
      <w:i/>
      <w:iCs/>
      <w:color w:val="3C3F49" w:themeColor="text2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pPr>
      <w:spacing w:after="0" w:line="240" w:lineRule="auto"/>
    </w:pPr>
  </w:style>
  <w:style w:type="paragraph" w:customStyle="1" w:styleId="Styl1">
    <w:name w:val="Styl1"/>
    <w:basedOn w:val="Podtytu"/>
    <w:link w:val="Styl1Znak"/>
    <w:qFormat/>
  </w:style>
  <w:style w:type="paragraph" w:customStyle="1" w:styleId="Naglowek4">
    <w:name w:val="Naglowek 4"/>
    <w:basedOn w:val="Nagwek3"/>
    <w:next w:val="Nagwek4"/>
    <w:qFormat/>
    <w:pPr>
      <w:spacing w:before="120" w:after="120"/>
    </w:pPr>
  </w:style>
  <w:style w:type="paragraph" w:customStyle="1" w:styleId="Styl2">
    <w:name w:val="Styl2"/>
    <w:basedOn w:val="Nagwek3"/>
    <w:next w:val="Naglowek4"/>
    <w:qFormat/>
  </w:style>
  <w:style w:type="paragraph" w:customStyle="1" w:styleId="Styl3">
    <w:name w:val="Styl3"/>
    <w:basedOn w:val="Nagwek3"/>
    <w:qFormat/>
    <w:pPr>
      <w:numPr>
        <w:ilvl w:val="3"/>
      </w:numPr>
    </w:pPr>
  </w:style>
  <w:style w:type="paragraph" w:customStyle="1" w:styleId="Styl31">
    <w:name w:val="Styl31"/>
    <w:basedOn w:val="Nagwek3"/>
    <w:next w:val="Styl3"/>
    <w:qFormat/>
    <w:pPr>
      <w:numPr>
        <w:numId w:val="0"/>
      </w:numPr>
      <w:ind w:left="1080" w:hanging="1080"/>
    </w:pPr>
  </w:style>
  <w:style w:type="paragraph" w:customStyle="1" w:styleId="SmallTitle">
    <w:name w:val="SmallTitle"/>
    <w:basedOn w:val="Normalny"/>
    <w:link w:val="SmallTitleZnak"/>
    <w:qFormat/>
    <w:pPr>
      <w:spacing w:line="259" w:lineRule="auto"/>
      <w:jc w:val="center"/>
    </w:pPr>
    <w:rPr>
      <w:b/>
      <w:bCs/>
    </w:rPr>
  </w:style>
  <w:style w:type="paragraph" w:customStyle="1" w:styleId="SmallSubtitle">
    <w:name w:val="SmallSubtitle"/>
    <w:basedOn w:val="Normalny"/>
    <w:link w:val="SmallSubtitleZnak"/>
    <w:qFormat/>
    <w:pPr>
      <w:keepNext/>
      <w:spacing w:before="240"/>
    </w:pPr>
    <w:rPr>
      <w:b/>
      <w:caps/>
      <w:lang w:val="en-US"/>
    </w:rPr>
  </w:style>
  <w:style w:type="paragraph" w:styleId="Tekstprzypisudolnego">
    <w:name w:val="footnote text"/>
    <w:link w:val="TekstprzypisudolnegoZnak"/>
    <w:semiHidden/>
    <w:pPr>
      <w:spacing w:after="0" w:line="240" w:lineRule="auto"/>
    </w:pPr>
    <w:rPr>
      <w:szCs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basedOn w:val="Domylnaczcionkaakapitu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Pr>
      <w:rFonts w:asciiTheme="majorHAnsi" w:eastAsiaTheme="majorEastAsia" w:hAnsiTheme="majorHAnsi" w:cstheme="majorBidi"/>
      <w:b/>
      <w:color w:val="2F5C89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Pr>
      <w:rFonts w:asciiTheme="majorHAnsi" w:eastAsiaTheme="majorEastAsia" w:hAnsiTheme="majorHAnsi" w:cstheme="majorBidi"/>
      <w:b/>
      <w:smallCaps/>
      <w:color w:val="234466" w:themeColor="accent1" w:themeShade="BF"/>
    </w:rPr>
  </w:style>
  <w:style w:type="character" w:customStyle="1" w:styleId="TytuZnak">
    <w:name w:val="Tytuł Znak"/>
    <w:basedOn w:val="Domylnaczcionkaakapitu"/>
    <w:link w:val="Tytu"/>
    <w:rPr>
      <w:rFonts w:ascii="Times New Roman" w:eastAsiaTheme="majorEastAsia" w:hAnsi="Times New Roman" w:cstheme="majorBidi"/>
      <w:b/>
      <w:color w:val="3C3F49" w:themeColor="text2"/>
      <w:spacing w:val="5"/>
      <w:kern w:val="28"/>
      <w:sz w:val="72"/>
      <w:szCs w:val="48"/>
    </w:rPr>
  </w:style>
  <w:style w:type="character" w:customStyle="1" w:styleId="PodtytuZnak">
    <w:name w:val="Podtytuł Znak"/>
    <w:basedOn w:val="Domylnaczcionkaakapitu"/>
    <w:link w:val="Podtytu"/>
    <w:rPr>
      <w:rFonts w:eastAsiaTheme="minorEastAsia"/>
      <w:color w:val="auto"/>
      <w:szCs w:val="14"/>
    </w:rPr>
  </w:style>
  <w:style w:type="character" w:customStyle="1" w:styleId="Nagwek3Znak">
    <w:name w:val="Nagłówek 3 Znak"/>
    <w:basedOn w:val="Domylnaczcionkaakapitu"/>
    <w:link w:val="Nagwek3"/>
    <w:rPr>
      <w:rFonts w:asciiTheme="majorHAnsi" w:eastAsiaTheme="majorEastAsia" w:hAnsiTheme="majorHAnsi" w:cstheme="majorBidi"/>
      <w:b/>
      <w:smallCaps/>
      <w:color w:val="3C3F49"/>
      <w:sz w:val="20"/>
      <w:szCs w:val="20"/>
    </w:rPr>
  </w:style>
  <w:style w:type="character" w:styleId="Wyrnieniedelikatne">
    <w:name w:val="Subtle Emphasis"/>
    <w:aliases w:val="Źródło"/>
    <w:basedOn w:val="Domylnaczcionkaakapitu"/>
    <w:rPr>
      <w:i/>
      <w:iCs/>
      <w:color w:val="404040" w:themeColor="text1" w:themeTint="BF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Segoe UI" w:hAnsi="Segoe UI" w:cs="Segoe UI"/>
      <w:color w:val="121313" w:themeColor="background2" w:themeShade="19"/>
      <w:sz w:val="18"/>
      <w:szCs w:val="18"/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rPr>
      <w:i/>
      <w:iCs/>
      <w:color w:val="006139" w:themeColor="accent6"/>
      <w:sz w:val="20"/>
      <w:shd w:val="clear" w:color="auto" w:fill="E1F5F5"/>
    </w:rPr>
  </w:style>
  <w:style w:type="character" w:customStyle="1" w:styleId="CytatZnak">
    <w:name w:val="Cytat Znak"/>
    <w:aliases w:val="Uwaga Znak"/>
    <w:basedOn w:val="Domylnaczcionkaakapitu"/>
    <w:link w:val="Cytat"/>
    <w:rPr>
      <w:i/>
      <w:iCs/>
      <w:color w:val="D90912" w:themeColor="accent4"/>
      <w:sz w:val="20"/>
      <w:shd w:val="clear" w:color="auto" w:fill="FFF5F5"/>
    </w:rPr>
  </w:style>
  <w:style w:type="character" w:customStyle="1" w:styleId="NagwekZnak">
    <w:name w:val="Nagłówek Znak"/>
    <w:basedOn w:val="Domylnaczcionkaakapitu"/>
    <w:link w:val="Nagwek"/>
    <w:rPr>
      <w:color w:val="121313" w:themeColor="background2" w:themeShade="19"/>
      <w:sz w:val="20"/>
    </w:rPr>
  </w:style>
  <w:style w:type="character" w:customStyle="1" w:styleId="StopkaZnak">
    <w:name w:val="Stopka Znak"/>
    <w:basedOn w:val="Domylnaczcionkaakapitu"/>
    <w:link w:val="Stopka"/>
    <w:rPr>
      <w:rFonts w:ascii="Times New Roman" w:hAnsi="Times New Roman"/>
      <w:sz w:val="18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</w:style>
  <w:style w:type="character" w:customStyle="1" w:styleId="TematkomentarzaZnak">
    <w:name w:val="Temat komentarza Znak"/>
    <w:basedOn w:val="TekstkomentarzaZnak"/>
    <w:link w:val="Tematkomentarza"/>
    <w:semiHidden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character" w:customStyle="1" w:styleId="Styl1Znak">
    <w:name w:val="Styl1 Znak"/>
    <w:basedOn w:val="PodtytuZnak"/>
    <w:link w:val="Styl1"/>
    <w:rPr>
      <w:rFonts w:eastAsiaTheme="minorEastAsia"/>
      <w:color w:val="auto"/>
      <w:szCs w:val="14"/>
    </w:rPr>
  </w:style>
  <w:style w:type="character" w:customStyle="1" w:styleId="Nagwek4Znak">
    <w:name w:val="Nagłówek 4 Znak"/>
    <w:basedOn w:val="Domylnaczcionkaakapitu"/>
    <w:link w:val="Nagwek4"/>
    <w:semiHidden/>
    <w:rPr>
      <w:rFonts w:asciiTheme="majorHAnsi" w:eastAsiaTheme="majorEastAsia" w:hAnsiTheme="majorHAnsi" w:cstheme="majorBidi"/>
      <w:b/>
      <w:iCs/>
      <w:smallCaps/>
      <w:color w:val="234466" w:themeColor="accent1" w:themeShade="BF"/>
      <w:szCs w:val="20"/>
    </w:rPr>
  </w:style>
  <w:style w:type="character" w:customStyle="1" w:styleId="SmallTitleZnak">
    <w:name w:val="SmallTitle Znak"/>
    <w:basedOn w:val="Domylnaczcionkaakapitu"/>
    <w:link w:val="SmallTitle"/>
    <w:rPr>
      <w:rFonts w:ascii="Times New Roman" w:hAnsi="Times New Roman"/>
      <w:b/>
      <w:bCs/>
    </w:rPr>
  </w:style>
  <w:style w:type="character" w:customStyle="1" w:styleId="SmallSubtitleZnak">
    <w:name w:val="SmallSubtitle Znak"/>
    <w:basedOn w:val="Domylnaczcionkaakapitu"/>
    <w:link w:val="SmallSubtitle"/>
    <w:rPr>
      <w:rFonts w:ascii="Times New Roman" w:hAnsi="Times New Roman"/>
      <w:b/>
      <w:caps/>
      <w:lang w:val="en-US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urulis">
    <w:name w:val="Tabela Curulis"/>
    <w:basedOn w:val="Standardowy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4" w:space="0" w:color="DADBDC" w:themeColor="background2" w:themeTint="99"/>
        <w:insideH w:val="single" w:sz="4" w:space="0" w:color="DADBDC" w:themeColor="background2" w:themeTint="99"/>
        <w:insideV w:val="single" w:sz="4" w:space="0" w:color="DADBDC" w:themeColor="background2" w:themeTint="99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2"/>
      </w:tcPr>
    </w:tblStylePr>
  </w:style>
  <w:style w:type="table" w:customStyle="1" w:styleId="TabelaCurulisLiczby">
    <w:name w:val="Tabela Curulis Liczby"/>
    <w:basedOn w:val="TabelaCurulis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2"/>
      </w:tcPr>
    </w:tblStylePr>
  </w:style>
  <w:style w:type="table" w:customStyle="1" w:styleId="TabelaCurulisEco">
    <w:name w:val="Tabela Curulis Eco"/>
    <w:basedOn w:val="TabelaCurulis"/>
    <w:pPr>
      <w:spacing w:line="240" w:lineRule="auto"/>
    </w:pPr>
    <w:tblPr>
      <w:tblStyleRowBandSize w:val="1"/>
      <w:tblStyleColBandSize w:val="1"/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vanish w:val="0"/>
        <w:color w:val="000000" w:themeColor="text1"/>
        <w:sz w:val="18"/>
        <w:vertAlign w:val="baseline"/>
      </w:rPr>
      <w:tblPr/>
      <w:tcPr>
        <w:tcBorders>
          <w:top w:val="nil"/>
          <w:left w:val="nil"/>
          <w:bottom w:val="single" w:sz="4" w:space="0" w:color="8F9296" w:themeColor="background2" w:themeShade="BF"/>
          <w:right w:val="nil"/>
          <w:insideH w:val="single" w:sz="4" w:space="0" w:color="8F9296" w:themeColor="background2" w:themeShade="BF"/>
          <w:insideV w:val="single" w:sz="4" w:space="0" w:color="8F9296" w:themeColor="background2" w:themeShade="BF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AD225-C47C-4FF2-86BC-D45A6B7E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2667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Sawko</dc:creator>
  <cp:keywords>Curulis Sp. z o.o.</cp:keywords>
  <cp:lastModifiedBy>B02-Skarbnik</cp:lastModifiedBy>
  <cp:revision>2</cp:revision>
  <cp:lastPrinted>2024-08-19T09:00:00Z</cp:lastPrinted>
  <dcterms:created xsi:type="dcterms:W3CDTF">2024-08-19T09:01:00Z</dcterms:created>
  <dcterms:modified xsi:type="dcterms:W3CDTF">2024-08-19T09:01:00Z</dcterms:modified>
</cp:coreProperties>
</file>