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0B" w:rsidRDefault="002B3B2A">
      <w:pPr>
        <w:pStyle w:val="SmallTitle"/>
      </w:pPr>
      <w:r>
        <w:t>Informacja o wykonaniu budżetu Gminy Rogoźno</w:t>
      </w:r>
      <w:r>
        <w:br/>
        <w:t>za II kwartał 2023 roku</w:t>
      </w:r>
    </w:p>
    <w:p w:rsidR="00383F0B" w:rsidRDefault="002B3B2A">
      <w:pPr>
        <w:jc w:val="both"/>
      </w:pPr>
      <w:r>
        <w:t>Zgodnie z art. 37 ust. 1 ustawy z dnia 27 sierpnia 2009 r. – o finansach publicznych (Dz. U. 2023</w:t>
      </w:r>
      <w:r w:rsidR="008603AB">
        <w:t xml:space="preserve"> r. poz. 1270 z </w:t>
      </w:r>
      <w:proofErr w:type="spellStart"/>
      <w:r w:rsidR="008603AB">
        <w:t>późn</w:t>
      </w:r>
      <w:proofErr w:type="spellEnd"/>
      <w:r w:rsidR="008603AB">
        <w:t xml:space="preserve">. zm.) Burmistrz </w:t>
      </w:r>
      <w:r>
        <w:t xml:space="preserve"> Rogoźn</w:t>
      </w:r>
      <w:r w:rsidR="008603AB">
        <w:t>a</w:t>
      </w:r>
      <w:r>
        <w:t xml:space="preserve"> podaje do publicznej wiadomości kwartalną informację o wykonaniu budżetu Gminy Rogoźno, w tym kwotę deficytu, oraz o udzielonych umorzeniach niepodatkowych należności budżetowych.</w:t>
      </w:r>
    </w:p>
    <w:p w:rsidR="00383F0B" w:rsidRDefault="002B3B2A">
      <w:pPr>
        <w:jc w:val="both"/>
      </w:pPr>
      <w:r>
        <w:t xml:space="preserve">Budżet Gminy w 2023 roku, który został przyjęty uchwałą Rady </w:t>
      </w:r>
      <w:r w:rsidR="008603AB">
        <w:t>Miejskiej w</w:t>
      </w:r>
      <w:r>
        <w:t xml:space="preserve"> Rogoźn</w:t>
      </w:r>
      <w:r w:rsidR="008603AB">
        <w:t>ie</w:t>
      </w:r>
      <w:bookmarkStart w:id="0" w:name="_GoBack"/>
      <w:bookmarkEnd w:id="0"/>
      <w:r>
        <w:t xml:space="preserve"> nr LXXV/782/2022 z dnia 28.12.2022 roku, zakładał:</w:t>
      </w:r>
    </w:p>
    <w:p w:rsidR="00383F0B" w:rsidRDefault="002B3B2A">
      <w:pPr>
        <w:pStyle w:val="Akapitzlist"/>
        <w:numPr>
          <w:ilvl w:val="0"/>
          <w:numId w:val="23"/>
        </w:numPr>
        <w:jc w:val="both"/>
      </w:pPr>
      <w:r>
        <w:t>uzyskanie dochodów w kwocie 83 762 897,88 zł;</w:t>
      </w:r>
    </w:p>
    <w:p w:rsidR="00383F0B" w:rsidRDefault="002B3B2A">
      <w:pPr>
        <w:pStyle w:val="Akapitzlist"/>
        <w:numPr>
          <w:ilvl w:val="0"/>
          <w:numId w:val="23"/>
        </w:numPr>
        <w:jc w:val="both"/>
      </w:pPr>
      <w:r>
        <w:t>realizację wydatków na poziomie 85 629 976,15 zł;</w:t>
      </w:r>
    </w:p>
    <w:p w:rsidR="00383F0B" w:rsidRDefault="002B3B2A">
      <w:pPr>
        <w:pStyle w:val="Akapitzlist"/>
        <w:numPr>
          <w:ilvl w:val="0"/>
          <w:numId w:val="23"/>
        </w:numPr>
        <w:jc w:val="both"/>
      </w:pPr>
      <w:r>
        <w:t>pozyskanie przychodów w kwocie 4 084 078,27 zł;</w:t>
      </w:r>
    </w:p>
    <w:p w:rsidR="00383F0B" w:rsidRDefault="002B3B2A">
      <w:pPr>
        <w:pStyle w:val="Akapitzlist"/>
        <w:numPr>
          <w:ilvl w:val="0"/>
          <w:numId w:val="23"/>
        </w:numPr>
        <w:jc w:val="both"/>
      </w:pPr>
      <w:r>
        <w:t>realizację rozchodów na poziomie 2 217 000,00 zł.</w:t>
      </w:r>
    </w:p>
    <w:p w:rsidR="00383F0B" w:rsidRDefault="002B3B2A">
      <w:pPr>
        <w:jc w:val="both"/>
      </w:pPr>
      <w:r>
        <w:t>Różnica między planem dochodów a planem wydatków wynosiła 1 867 078,27 zł i stanowiła planowany deficyt budżetu Gminy Rogoźno na 2023 rok. Planowana na 2023 rok wartość przychodów stanowiła źródło pokrycia powstałego deficytu, a w pozostałej części została przeznaczona na rozchody.</w:t>
      </w:r>
    </w:p>
    <w:p w:rsidR="00383F0B" w:rsidRDefault="002B3B2A">
      <w:pPr>
        <w:jc w:val="both"/>
      </w:pPr>
      <w:r>
        <w:t>W wyniku wprowadzonych zmian w pierwszym półroczu 2023 roku:</w:t>
      </w:r>
    </w:p>
    <w:p w:rsidR="00383F0B" w:rsidRDefault="002B3B2A">
      <w:pPr>
        <w:pStyle w:val="Akapitzlist"/>
        <w:numPr>
          <w:ilvl w:val="0"/>
          <w:numId w:val="24"/>
        </w:numPr>
        <w:jc w:val="both"/>
      </w:pPr>
      <w:r>
        <w:t>plan dochodów wzrósł o 31 548 244,25 zł do kwoty 115 311 142,13 zł;</w:t>
      </w:r>
    </w:p>
    <w:p w:rsidR="00383F0B" w:rsidRDefault="002B3B2A">
      <w:pPr>
        <w:pStyle w:val="Akapitzlist"/>
        <w:numPr>
          <w:ilvl w:val="0"/>
          <w:numId w:val="24"/>
        </w:numPr>
        <w:jc w:val="both"/>
      </w:pPr>
      <w:r>
        <w:t>plan wydatków wzrósł o 35 950 104,83 zł do kwoty 121 580 080,98 zł;</w:t>
      </w:r>
    </w:p>
    <w:p w:rsidR="00383F0B" w:rsidRDefault="002B3B2A">
      <w:pPr>
        <w:pStyle w:val="Akapitzlist"/>
        <w:numPr>
          <w:ilvl w:val="0"/>
          <w:numId w:val="24"/>
        </w:numPr>
        <w:jc w:val="both"/>
      </w:pPr>
      <w:r>
        <w:t>plan przychodów wzrósł o 4 401 860,58 zł do kwoty 8 485 938,85 zł;</w:t>
      </w:r>
    </w:p>
    <w:p w:rsidR="00383F0B" w:rsidRDefault="002B3B2A">
      <w:pPr>
        <w:pStyle w:val="Akapitzlist"/>
        <w:numPr>
          <w:ilvl w:val="0"/>
          <w:numId w:val="24"/>
        </w:numPr>
        <w:jc w:val="both"/>
      </w:pPr>
      <w:r>
        <w:t>plan rozchodów nie uległ zmianie.</w:t>
      </w:r>
    </w:p>
    <w:p w:rsidR="00383F0B" w:rsidRDefault="002B3B2A">
      <w:pPr>
        <w:jc w:val="both"/>
      </w:pPr>
      <w:r>
        <w:t>Na dzień 30 czerwca 2023 roku budżet Gminy Rogoźno zamknął się planowanym deficytem budżetowym w kwocie 6 268 938,85 zł stanowiącym różnicę między planem dochodów a planem wydatków.</w:t>
      </w:r>
    </w:p>
    <w:p w:rsidR="00383F0B" w:rsidRDefault="002B3B2A">
      <w:pPr>
        <w:jc w:val="both"/>
      </w:pPr>
      <w:r>
        <w:t>W ujęciu tabelarycznym wykonanie budżetu za I półrocze 2023 r. przedstawia poniższa tabela.</w:t>
      </w:r>
    </w:p>
    <w:tbl>
      <w:tblPr>
        <w:tblStyle w:val="TabelaCurulis"/>
        <w:tblW w:w="5000" w:type="pct"/>
        <w:tblLook w:val="04A0" w:firstRow="1" w:lastRow="0" w:firstColumn="1" w:lastColumn="0" w:noHBand="0" w:noVBand="1"/>
      </w:tblPr>
      <w:tblGrid>
        <w:gridCol w:w="391"/>
        <w:gridCol w:w="5632"/>
        <w:gridCol w:w="1033"/>
        <w:gridCol w:w="1108"/>
        <w:gridCol w:w="1033"/>
        <w:gridCol w:w="837"/>
      </w:tblGrid>
      <w:tr w:rsidR="00383F0B" w:rsidTr="00383F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0" w:type="pct"/>
            <w:tcMar>
              <w:top w:w="11" w:type="dxa"/>
              <w:left w:w="85" w:type="dxa"/>
              <w:bottom w:w="6" w:type="dxa"/>
              <w:right w:w="85" w:type="dxa"/>
            </w:tcMar>
          </w:tcPr>
          <w:p w:rsidR="00383F0B" w:rsidRDefault="002B3B2A">
            <w:pPr>
              <w:rPr>
                <w:color w:val="FFFFFF"/>
                <w:sz w:val="15"/>
                <w:szCs w:val="15"/>
              </w:rPr>
            </w:pPr>
            <w:r>
              <w:rPr>
                <w:color w:val="FFFFFF"/>
                <w:sz w:val="15"/>
                <w:szCs w:val="15"/>
              </w:rPr>
              <w:t>Lp.</w:t>
            </w:r>
          </w:p>
        </w:tc>
        <w:tc>
          <w:tcPr>
            <w:tcW w:w="75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Wyszczególnienie</w:t>
            </w:r>
          </w:p>
        </w:tc>
        <w:tc>
          <w:tcPr>
            <w:tcW w:w="54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Plan na 1.01.2023 r. (w zł)</w:t>
            </w:r>
          </w:p>
        </w:tc>
        <w:tc>
          <w:tcPr>
            <w:tcW w:w="54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Plan na 30.06.2023 r. (w zł)</w:t>
            </w:r>
          </w:p>
        </w:tc>
        <w:tc>
          <w:tcPr>
            <w:tcW w:w="54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Wykonanie (w zł)</w:t>
            </w:r>
          </w:p>
        </w:tc>
        <w:tc>
          <w:tcPr>
            <w:tcW w:w="45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Realizacja planu po zmianach (w %)</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b/>
                <w:bCs/>
                <w:sz w:val="15"/>
                <w:szCs w:val="15"/>
              </w:rPr>
            </w:pPr>
            <w:r>
              <w:rPr>
                <w:b/>
                <w:bCs/>
                <w:sz w:val="15"/>
                <w:szCs w:val="15"/>
              </w:rPr>
              <w:t>I.</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Dochody ogółem, w tym:</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83 762 897,88</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115 311 142,13</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53 632 438,62</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46,51%</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sz w:val="15"/>
                <w:szCs w:val="15"/>
              </w:rPr>
            </w:pPr>
            <w:r>
              <w:rPr>
                <w:sz w:val="15"/>
                <w:szCs w:val="15"/>
              </w:rPr>
              <w:t>1.</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Dochody bieżące, w tym:</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76 347 860,54</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82 519 879,68</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47 433 643,71</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57,48%</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Dotacje i dochody celowe</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10 717 539,39</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15 589 535,53</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11 009 224,98</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70,62%</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Subwencja ogólna</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23 312 899,00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23 312 899,00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13 750 476,00</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58,98%</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Udziały w PIT i CIT</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14 934 097,00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14 934 097,00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7 467 042,00</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50,00%</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Wpływy z podatków i opłat</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25 865 694,25</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25 974 285,25</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13 554 598,90</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52,18%</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Pozostałe dochody bieżące</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1 517 630,90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2 709 062,90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1 652 301,83</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60,99%</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sz w:val="15"/>
                <w:szCs w:val="15"/>
              </w:rPr>
            </w:pPr>
            <w:r>
              <w:rPr>
                <w:sz w:val="15"/>
                <w:szCs w:val="15"/>
              </w:rPr>
              <w:t>2.</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Dochody majątkowe, w tym:</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7 415 037,34</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32 791 262,45</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6 198 794,91</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18,90%</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Dochody z majątku</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1 650 500,00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5 247 410,20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570 857,24</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10,88%</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Dotacje i środki na inwestycje</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5 764 537,34</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27 543 852,25</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5 582 277,42</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20,27%</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Pozostałe dochody majątkowe</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0,00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0,00</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45 660,25</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b/>
                <w:bCs/>
                <w:sz w:val="15"/>
                <w:szCs w:val="15"/>
              </w:rPr>
            </w:pPr>
            <w:r>
              <w:rPr>
                <w:b/>
                <w:bCs/>
                <w:sz w:val="15"/>
                <w:szCs w:val="15"/>
              </w:rPr>
              <w:t>II.</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Wydatki ogółem, w tym:</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85 629 976,15</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121 580 080,98</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52 784 373,88</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43,42%</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sz w:val="15"/>
                <w:szCs w:val="15"/>
              </w:rPr>
            </w:pPr>
            <w:r>
              <w:rPr>
                <w:sz w:val="15"/>
                <w:szCs w:val="15"/>
              </w:rPr>
              <w:t>1.</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bieżące</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76 337 435,47</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85 733 587,44</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47 924 088,94</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55,90%</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sz w:val="15"/>
                <w:szCs w:val="15"/>
              </w:rPr>
            </w:pPr>
            <w:r>
              <w:rPr>
                <w:sz w:val="15"/>
                <w:szCs w:val="15"/>
              </w:rPr>
              <w:t>2.</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majątkowe, w tym:</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9 292 540,68</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35 846 493,54</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4 860 284,94</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13,56%</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383F0B">
            <w:pPr>
              <w:rPr>
                <w:i/>
                <w:iCs/>
                <w:sz w:val="15"/>
                <w:szCs w:val="15"/>
              </w:rPr>
            </w:pP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wydatki na inwestycje</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9 292 540,68</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35 646 493,54</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4 660 284,94</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i/>
                <w:iCs/>
                <w:sz w:val="15"/>
                <w:szCs w:val="15"/>
              </w:rPr>
            </w:pPr>
            <w:r>
              <w:rPr>
                <w:i/>
                <w:iCs/>
                <w:sz w:val="15"/>
                <w:szCs w:val="15"/>
              </w:rPr>
              <w:t>13,07%</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b/>
                <w:bCs/>
                <w:sz w:val="15"/>
                <w:szCs w:val="15"/>
              </w:rPr>
            </w:pPr>
            <w:r>
              <w:rPr>
                <w:b/>
                <w:bCs/>
                <w:sz w:val="15"/>
                <w:szCs w:val="15"/>
              </w:rPr>
              <w:t>III.</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Wynik +/- (I-II)</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-1 867 078,27</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-6 268 938,85</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848 064,74</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w:t>
            </w:r>
          </w:p>
        </w:tc>
      </w:tr>
      <w:tr w:rsidR="00383F0B" w:rsidTr="00383F0B">
        <w:tc>
          <w:tcPr>
            <w:cnfStyle w:val="001000000000" w:firstRow="0" w:lastRow="0" w:firstColumn="1" w:lastColumn="0" w:oddVBand="0" w:evenVBand="0" w:oddHBand="0" w:evenHBand="0" w:firstRowFirstColumn="0" w:firstRowLastColumn="0" w:lastRowFirstColumn="0" w:lastRowLastColumn="0"/>
            <w:tcW w:w="833" w:type="pct"/>
            <w:tcMar>
              <w:top w:w="11" w:type="dxa"/>
              <w:left w:w="85" w:type="dxa"/>
              <w:bottom w:w="6" w:type="dxa"/>
              <w:right w:w="85" w:type="dxa"/>
            </w:tcMar>
          </w:tcPr>
          <w:p w:rsidR="00383F0B" w:rsidRDefault="002B3B2A">
            <w:pPr>
              <w:jc w:val="center"/>
              <w:rPr>
                <w:b/>
                <w:bCs/>
                <w:sz w:val="15"/>
                <w:szCs w:val="15"/>
              </w:rPr>
            </w:pPr>
            <w:r>
              <w:rPr>
                <w:b/>
                <w:bCs/>
                <w:sz w:val="15"/>
                <w:szCs w:val="15"/>
              </w:rPr>
              <w:t>IV.</w:t>
            </w:r>
          </w:p>
        </w:tc>
        <w:tc>
          <w:tcPr>
            <w:tcW w:w="833" w:type="pct"/>
            <w:tcMar>
              <w:top w:w="11" w:type="dxa"/>
              <w:left w:w="85" w:type="dxa"/>
              <w:bottom w:w="6" w:type="dxa"/>
              <w:right w:w="85" w:type="dxa"/>
            </w:tcMar>
          </w:tcPr>
          <w:p w:rsidR="00383F0B" w:rsidRDefault="002B3B2A">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Różnica między dochodami bieżącymi a wydatkami bieżącymi</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10 425,07</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-3 213 707,76</w:t>
            </w:r>
          </w:p>
        </w:tc>
        <w:tc>
          <w:tcPr>
            <w:tcW w:w="833"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-490 445,23</w:t>
            </w:r>
          </w:p>
        </w:tc>
        <w:tc>
          <w:tcPr>
            <w:tcW w:w="835"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w:t>
            </w:r>
          </w:p>
        </w:tc>
      </w:tr>
    </w:tbl>
    <w:p w:rsidR="00383F0B" w:rsidRDefault="00383F0B">
      <w:pPr>
        <w:jc w:val="both"/>
      </w:pPr>
    </w:p>
    <w:p w:rsidR="00383F0B" w:rsidRDefault="002B3B2A">
      <w:pPr>
        <w:jc w:val="both"/>
      </w:pPr>
      <w:r>
        <w:t>Na koniec pierwszego półrocza wystąpiła nadwyżka budżetowa w kwocie 848 064,74 zł. Różnica między dochodami bieżącymi a wydatkami bieżącymi (wynik budżetu bieżącego) wynosi -490 445,23 zł.</w:t>
      </w:r>
    </w:p>
    <w:p w:rsidR="00383F0B" w:rsidRDefault="002B3B2A">
      <w:pPr>
        <w:pStyle w:val="SmallSubtitle"/>
      </w:pPr>
      <w:r>
        <w:t>Dochody</w:t>
      </w:r>
    </w:p>
    <w:p w:rsidR="00383F0B" w:rsidRDefault="002B3B2A">
      <w:pPr>
        <w:jc w:val="both"/>
      </w:pPr>
      <w:r>
        <w:t xml:space="preserve">Dochody budżetu Gminy w pierwszym półroczu 2023 roku wyniosły 53 632 438,62 zł, a ich realizacja stanowiła 46,51% planu wynoszącego 115 311 142,13 zł. W strukturze dochodów znaczący udział odgrywają dochody bieżące, które w pierwszym półroczu 2023 roku zostały wykonane na poziomie 47 433 643,71 zł, tj. w 57,48% w stosunku do planu </w:t>
      </w:r>
      <w:r>
        <w:lastRenderedPageBreak/>
        <w:t>wynoszącego 82 519 879,68 zł. Dochody majątkowe Gminy Rogoźno w pierwszym półroczu 2023 roku zostały wykonane na poziomie 6 198 794,91 zł, tj. w 18,90% w stosunku do planu wynoszącego 32 791 262,45 zł.</w:t>
      </w:r>
    </w:p>
    <w:p w:rsidR="00383F0B" w:rsidRDefault="002B3B2A">
      <w:pPr>
        <w:pStyle w:val="SmallSubtitle"/>
      </w:pPr>
      <w:r>
        <w:t>Dotacje i dochody celowe bieżące</w:t>
      </w:r>
    </w:p>
    <w:p w:rsidR="00383F0B" w:rsidRDefault="002B3B2A">
      <w:pPr>
        <w:jc w:val="both"/>
      </w:pPr>
      <w:r>
        <w:t>Biorąc pod uwagę podział dochodów bieżących wg źródeł ich pochodzenia znaczący udział w pierwszym półroczu 2023 roku stanowiły dochody o charakterze celowym, które JST otrzymuje od podmiotów zewnętrznych. W pierwszym półroczu 2023 roku środki te zostały zaplanowane w kwocie 15 589 535,53 zł, z kolei zrealizowane na poziomie 11 009 224,98 zł, co stanowi 70,62% realizacji planu, przy czym:</w:t>
      </w:r>
    </w:p>
    <w:p w:rsidR="00383F0B" w:rsidRDefault="002B3B2A">
      <w:pPr>
        <w:pStyle w:val="Akapitzlist"/>
        <w:numPr>
          <w:ilvl w:val="0"/>
          <w:numId w:val="25"/>
        </w:numPr>
        <w:jc w:val="both"/>
      </w:pPr>
      <w:r>
        <w:t>dotacje celowe otrzymane z budżetu państwa na realizację zadań z zakresu administracji rządowej wyniosły 6 386 015,05 zł;</w:t>
      </w:r>
    </w:p>
    <w:p w:rsidR="00383F0B" w:rsidRDefault="002B3B2A">
      <w:pPr>
        <w:pStyle w:val="Akapitzlist"/>
        <w:numPr>
          <w:ilvl w:val="0"/>
          <w:numId w:val="25"/>
        </w:numPr>
        <w:jc w:val="both"/>
      </w:pPr>
      <w:r>
        <w:t>dotacje na realizację zadań realizowanych na mocy porozumień z organami administracji rządowej 110 836,00 zł;</w:t>
      </w:r>
    </w:p>
    <w:p w:rsidR="00383F0B" w:rsidRDefault="002B3B2A">
      <w:pPr>
        <w:pStyle w:val="Akapitzlist"/>
        <w:numPr>
          <w:ilvl w:val="0"/>
          <w:numId w:val="25"/>
        </w:numPr>
        <w:jc w:val="both"/>
      </w:pPr>
      <w:r>
        <w:t>dotacje celowe otrzymane z budżetu państwa na zadania własne 997 240,95 zł;</w:t>
      </w:r>
    </w:p>
    <w:p w:rsidR="00383F0B" w:rsidRDefault="002B3B2A">
      <w:pPr>
        <w:pStyle w:val="Akapitzlist"/>
        <w:numPr>
          <w:ilvl w:val="0"/>
          <w:numId w:val="25"/>
        </w:numPr>
        <w:jc w:val="both"/>
      </w:pPr>
      <w:r>
        <w:t>dochody z dotacji na zadania realizowane na podstawie porozumień między jednostkami samorządu terytorialnego 14 300,00 zł;</w:t>
      </w:r>
    </w:p>
    <w:p w:rsidR="00383F0B" w:rsidRDefault="002B3B2A">
      <w:pPr>
        <w:pStyle w:val="Akapitzlist"/>
        <w:numPr>
          <w:ilvl w:val="0"/>
          <w:numId w:val="25"/>
        </w:numPr>
        <w:jc w:val="both"/>
      </w:pPr>
      <w:r>
        <w:t>dochody z dotacji w ramach programów finansowanych z udziałem środków europejskich 275 439,17 zł (w tym na realizację programu, projektu lub zadania finansowanego z udziałem środków, o których mowa w art. 5 ust. 1 pkt 2 ustawy 275 439,17 zł);</w:t>
      </w:r>
    </w:p>
    <w:p w:rsidR="00383F0B" w:rsidRDefault="002B3B2A">
      <w:pPr>
        <w:pStyle w:val="Akapitzlist"/>
        <w:numPr>
          <w:ilvl w:val="0"/>
          <w:numId w:val="25"/>
        </w:numPr>
        <w:jc w:val="both"/>
      </w:pPr>
      <w:r>
        <w:t>pozostałe dochody o charakterze celowym 3 225 393,81 zł.</w:t>
      </w:r>
    </w:p>
    <w:p w:rsidR="00383F0B" w:rsidRDefault="002B3B2A">
      <w:pPr>
        <w:pStyle w:val="SmallSubtitle"/>
      </w:pPr>
      <w:r>
        <w:t>Subwencja ogólna</w:t>
      </w:r>
    </w:p>
    <w:p w:rsidR="00383F0B" w:rsidRDefault="002B3B2A">
      <w:pPr>
        <w:jc w:val="both"/>
      </w:pPr>
      <w:r>
        <w:t>Dochody z subwencji w pierwszym półroczu 2023 roku zostały zaplanowane na poziomie 23 312 899,00 zł, natomiast zrealizowane w kwocie 13 750 476,00 zł, co stanowi 58,98% realizacji planu, przy czym:</w:t>
      </w:r>
    </w:p>
    <w:p w:rsidR="00383F0B" w:rsidRDefault="002B3B2A">
      <w:pPr>
        <w:pStyle w:val="Akapitzlist"/>
        <w:numPr>
          <w:ilvl w:val="0"/>
          <w:numId w:val="26"/>
        </w:numPr>
        <w:jc w:val="both"/>
      </w:pPr>
      <w:r>
        <w:t>dochody z subwencji oświatowej wyniosły 10 875 144,00 zł;</w:t>
      </w:r>
    </w:p>
    <w:p w:rsidR="00383F0B" w:rsidRDefault="002B3B2A">
      <w:pPr>
        <w:pStyle w:val="Akapitzlist"/>
        <w:numPr>
          <w:ilvl w:val="0"/>
          <w:numId w:val="26"/>
        </w:numPr>
        <w:jc w:val="both"/>
      </w:pPr>
      <w:r>
        <w:t>dochody z subwencji wyrównawczej 2 717 340,00 zł;</w:t>
      </w:r>
    </w:p>
    <w:p w:rsidR="00383F0B" w:rsidRDefault="002B3B2A">
      <w:pPr>
        <w:pStyle w:val="Akapitzlist"/>
        <w:numPr>
          <w:ilvl w:val="0"/>
          <w:numId w:val="26"/>
        </w:numPr>
        <w:jc w:val="both"/>
      </w:pPr>
      <w:r>
        <w:t>dochody z subwencji równoważącej 157 992,00 zł.</w:t>
      </w:r>
    </w:p>
    <w:p w:rsidR="00383F0B" w:rsidRDefault="002B3B2A">
      <w:pPr>
        <w:pStyle w:val="SmallSubtitle"/>
      </w:pPr>
      <w:r>
        <w:t>Udział w podatkach stanowiących dochód budżetu państwa</w:t>
      </w:r>
    </w:p>
    <w:p w:rsidR="00383F0B" w:rsidRDefault="002B3B2A">
      <w:pPr>
        <w:jc w:val="both"/>
      </w:pPr>
      <w:r>
        <w:t>Udziały w podatkach stanowiących dochód budżetu państwa zaplanowane zostały w kwocie 14 934 097,00 zł, zaś zrealizowane w pierwszym półroczu 2023 roku w kwocie 7 467 042,00 zł, co stanowi 50,00% realizacji planu, przy czym:</w:t>
      </w:r>
    </w:p>
    <w:p w:rsidR="00383F0B" w:rsidRDefault="002B3B2A">
      <w:pPr>
        <w:pStyle w:val="Akapitzlist"/>
        <w:numPr>
          <w:ilvl w:val="0"/>
          <w:numId w:val="27"/>
        </w:numPr>
        <w:jc w:val="both"/>
      </w:pPr>
      <w:r>
        <w:t>dochody z tytułu wpływów z podatku od osób prawnych wyniosły 1 155 390,00 zł;</w:t>
      </w:r>
    </w:p>
    <w:p w:rsidR="00383F0B" w:rsidRDefault="002B3B2A">
      <w:pPr>
        <w:pStyle w:val="Akapitzlist"/>
        <w:numPr>
          <w:ilvl w:val="0"/>
          <w:numId w:val="27"/>
        </w:numPr>
        <w:jc w:val="both"/>
      </w:pPr>
      <w:r>
        <w:t>dochody z tytułu wpływów z podatku od osób fizycznych wyniosły 6 311 652,00 zł.</w:t>
      </w:r>
    </w:p>
    <w:p w:rsidR="00383F0B" w:rsidRDefault="002B3B2A">
      <w:pPr>
        <w:pStyle w:val="SmallSubtitle"/>
      </w:pPr>
      <w:r>
        <w:t>Wpływy z podatków i opłat lokalnych</w:t>
      </w:r>
    </w:p>
    <w:p w:rsidR="00383F0B" w:rsidRDefault="002B3B2A">
      <w:pPr>
        <w:pStyle w:val="Nagwek5"/>
        <w:jc w:val="both"/>
      </w:pPr>
      <w:r>
        <w:t>Podatek od nieruchomości</w:t>
      </w:r>
    </w:p>
    <w:p w:rsidR="00383F0B" w:rsidRDefault="002B3B2A">
      <w:pPr>
        <w:jc w:val="both"/>
      </w:pPr>
      <w:r>
        <w:t>Wpływy z podatku od nieruchomości w pierwszym półroczu 2023 roku zostały zrealizowane w kwocie 7 220 429,82 zł, co stanowi 52,32% realizacji planu wynoszącego 13 800 020,74 zł, w tym 4 831 027,47 zł od osób prawnych i 2 389 402,35 zł od osób fizycznych. Zaległości podatkowe na dzień 30 czerwca 2023 roku wynoszą 3 840 369,54 zł, w tym 890 984,68 zł od osób prawnych i 2 949 384,86 zł od osób fizycznych. Z uwagi, iż Gmina w okresie sprawozdawczym nie stosowała maksymalnych stawek wynikających z obwieszczenia MF, skutki obniżenia górnych stawek podatków kształtują się na poziomie 2 440 730,60 zł.</w:t>
      </w:r>
    </w:p>
    <w:p w:rsidR="00383F0B" w:rsidRDefault="002B3B2A">
      <w:pPr>
        <w:pStyle w:val="Nagwek5"/>
        <w:jc w:val="both"/>
      </w:pPr>
      <w:r>
        <w:t>Podatek rolny</w:t>
      </w:r>
    </w:p>
    <w:p w:rsidR="00383F0B" w:rsidRDefault="002B3B2A">
      <w:pPr>
        <w:jc w:val="both"/>
      </w:pPr>
      <w:r>
        <w:t xml:space="preserve">Wpływy z podatku rolnego w pierwszym półroczu 2023 roku zostały zrealizowane w kwocie 507 394,55 zł, co stanowi 28,27% realizacji planu wynoszącego 1 794 809,34 zł, w tym 59 445,00 zł od osób prawnych i 447 949,55 zł od osób fizycznych. Zaległości podatkowe na dzień 30 czerwca 2023 roku wynoszą 153 354,06 zł, w tym 107,90 zł od osób prawnych i 153 246,16 zł od osób </w:t>
      </w:r>
      <w:proofErr w:type="spellStart"/>
      <w:r>
        <w:t>fizycznych.Z</w:t>
      </w:r>
      <w:proofErr w:type="spellEnd"/>
      <w:r>
        <w:t xml:space="preserve"> uwagi, iż Gmina podjęła uchwałę w sprawie obniżenia średniej ceny skupu żyta, przyjmowanej jako podstawę obliczenia podatku rolnego, skutki obniżenia górnych stawek podatków kształtują się na poziomie 417 065,05 zł.</w:t>
      </w:r>
    </w:p>
    <w:p w:rsidR="00383F0B" w:rsidRDefault="002B3B2A">
      <w:pPr>
        <w:pStyle w:val="Nagwek5"/>
        <w:jc w:val="both"/>
      </w:pPr>
      <w:r>
        <w:lastRenderedPageBreak/>
        <w:t>Podatek leśny</w:t>
      </w:r>
    </w:p>
    <w:p w:rsidR="00383F0B" w:rsidRDefault="002B3B2A">
      <w:pPr>
        <w:jc w:val="both"/>
      </w:pPr>
      <w:r>
        <w:t>Wpływy z podatku leśnego w pierwszym półroczu 2023 roku zostały zrealizowane w kwocie 146 006,49 zł, co stanowi 50,83% realizacji planu wynoszącego 287 224,00 zł, w tym 136 850,49 zł od osób prawnych i 9 156,00 zł od osób fizycznych. Zaległości podatkowe na dzień 30 czerwca 2023 roku wynoszą 1 591,00 zł, w tym 143,00 zł od osób prawnych i 1 448,00 zł od osób fizycznych.</w:t>
      </w:r>
    </w:p>
    <w:p w:rsidR="00383F0B" w:rsidRDefault="002B3B2A">
      <w:pPr>
        <w:pStyle w:val="Nagwek5"/>
        <w:jc w:val="both"/>
      </w:pPr>
      <w:r>
        <w:t>Podatek od środków transportowych</w:t>
      </w:r>
    </w:p>
    <w:p w:rsidR="00383F0B" w:rsidRDefault="002B3B2A">
      <w:pPr>
        <w:jc w:val="both"/>
      </w:pPr>
      <w:r>
        <w:t>Wpływy z podatku od środków transportowych w pierwszym półroczu 2023 roku zostały zrealizowane w kwocie 223 885,40 zł, co stanowi 42,19% realizacji planu wynoszącego 530 715,00 zł, w tym 55 867,40 zł od osób prawnych i 168 018,00 zł od osób fizycznych. Zaległości podatkowe na dzień 30 czerwca 2023 roku wynoszą 580 155,09 zł, w tym 201 613,57 zł od osób prawnych i 378 541,52 zł od osób fizycznych. Z uwagi, iż Gmina nie stosuje maksymalnych stawek wynikających z obwieszczenia MF, skutki obniżenia górnych stawek podatków za okres sprawozdawczy kształtują się na poziomie 167 784,00 zł.</w:t>
      </w:r>
    </w:p>
    <w:p w:rsidR="00383F0B" w:rsidRDefault="002B3B2A">
      <w:pPr>
        <w:pStyle w:val="Nagwek5"/>
        <w:jc w:val="both"/>
      </w:pPr>
      <w:r>
        <w:t>Podatek od działalności gospodarczej osób fizycznych, opłacany w formie karty podatkowej</w:t>
      </w:r>
    </w:p>
    <w:p w:rsidR="00383F0B" w:rsidRDefault="002B3B2A">
      <w:pPr>
        <w:jc w:val="both"/>
      </w:pPr>
      <w:r>
        <w:t>Wpływy z podatku od działalności gospodarczej osób fizycznych, opłacanego w formie karty podatkowej w pierwszym półroczu 2023 roku zostały zrealizowane w kwocie 31 970,51 zł, co stanowi 48,44% realizacji planu wynoszącego 66 000,00 zł. Zaległości podatkowe na dzień 30 czerwca 2023 roku wynoszą 31 739,54 zł.</w:t>
      </w:r>
    </w:p>
    <w:p w:rsidR="00383F0B" w:rsidRDefault="002B3B2A">
      <w:pPr>
        <w:pStyle w:val="Nagwek5"/>
        <w:jc w:val="both"/>
      </w:pPr>
      <w:r>
        <w:t>Podatek od spadków i darowizn</w:t>
      </w:r>
    </w:p>
    <w:p w:rsidR="00383F0B" w:rsidRDefault="002B3B2A">
      <w:pPr>
        <w:jc w:val="both"/>
      </w:pPr>
      <w:r>
        <w:t>Wpływy z podatku od spadków i darowizn w pierwszym półroczu 2023 roku zostały zrealizowane w kwocie 65 775,65 zł, co stanowi 35,55% realizacji planu wynoszącego 185 000,00 zł. Zaległości podatkowe na dzień 30 czerwca 2023 roku wynoszą 10 880,73 zł.</w:t>
      </w:r>
    </w:p>
    <w:p w:rsidR="00383F0B" w:rsidRDefault="002B3B2A">
      <w:pPr>
        <w:pStyle w:val="Nagwek5"/>
        <w:jc w:val="both"/>
      </w:pPr>
      <w:r>
        <w:t>Podatek od czynności cywilnoprawnych</w:t>
      </w:r>
    </w:p>
    <w:p w:rsidR="00383F0B" w:rsidRDefault="002B3B2A">
      <w:pPr>
        <w:jc w:val="both"/>
      </w:pPr>
      <w:r>
        <w:t>Wpływy z podatku od czynności cywilnoprawnych w pierwszym półroczu 2023 roku zostały zrealizowane w kwocie 489 276,92 zł, co stanowi 48,35% realizacji planu wynoszącego 1 012 000,00 zł, w tym 12 270,00 zł od osób prawnych i 477 006,92 zł od osób fizycznych. Zaległości podatkowe na dzień 30 czerwca 2023 roku wynoszą 2 551,72 zł, w tym 108,44 zł od osób prawnych i 2 443,28 zł od osób fizycznych.</w:t>
      </w:r>
    </w:p>
    <w:p w:rsidR="00383F0B" w:rsidRDefault="002B3B2A">
      <w:pPr>
        <w:pStyle w:val="Nagwek5"/>
        <w:jc w:val="both"/>
      </w:pPr>
      <w:r>
        <w:t>Wpływy z opłaty skarbowej</w:t>
      </w:r>
    </w:p>
    <w:p w:rsidR="00383F0B" w:rsidRDefault="002B3B2A">
      <w:pPr>
        <w:jc w:val="both"/>
      </w:pPr>
      <w:r>
        <w:t>Wpływy z opłaty skarbowej w pierwszym półroczu 2023 roku zostały zrealizowane w kwocie 37 650,00 zł, co stanowi 53,79% realizacji planu wynoszącego 70 000,00 zł.</w:t>
      </w:r>
    </w:p>
    <w:p w:rsidR="00383F0B" w:rsidRDefault="002B3B2A">
      <w:pPr>
        <w:pStyle w:val="Nagwek5"/>
        <w:jc w:val="both"/>
      </w:pPr>
      <w:r>
        <w:t>Wpływy z opłat lokalnych</w:t>
      </w:r>
    </w:p>
    <w:p w:rsidR="00383F0B" w:rsidRDefault="002B3B2A">
      <w:pPr>
        <w:jc w:val="both"/>
      </w:pPr>
      <w:r>
        <w:t>Wpływy z opłat w 2023 roku zostały zaplanowane na poziomie 8 228 516,17 zł, natomiast zrealizowane w pierwszym półroczu w kwocie 4 832 209,56 zł, co stanowi 58,73% realizacji planu. Najwyższe wpływy z opłat zrealizowane zostały z:</w:t>
      </w:r>
    </w:p>
    <w:p w:rsidR="00383F0B" w:rsidRDefault="002B3B2A">
      <w:pPr>
        <w:pStyle w:val="Akapitzlist"/>
        <w:numPr>
          <w:ilvl w:val="0"/>
          <w:numId w:val="28"/>
        </w:numPr>
        <w:jc w:val="both"/>
      </w:pPr>
      <w:r>
        <w:t>§049 (wpływy z innych lokalnych opłat pobieranych przez jednostki samorządu terytorialnego na podstawie odrębnych ustaw) – 3 769 577,32 zł;</w:t>
      </w:r>
    </w:p>
    <w:p w:rsidR="00383F0B" w:rsidRDefault="002B3B2A">
      <w:pPr>
        <w:pStyle w:val="Akapitzlist"/>
        <w:numPr>
          <w:ilvl w:val="0"/>
          <w:numId w:val="28"/>
        </w:numPr>
        <w:jc w:val="both"/>
      </w:pPr>
      <w:r>
        <w:t>§067 (wpływy z opłat za korzystanie z wyżywienia w jednostkach realizujących zadania z zakresu wychowania przedszkolnego) – 364 888,00 zł;</w:t>
      </w:r>
    </w:p>
    <w:p w:rsidR="00383F0B" w:rsidRDefault="002B3B2A">
      <w:pPr>
        <w:pStyle w:val="Akapitzlist"/>
        <w:numPr>
          <w:ilvl w:val="0"/>
          <w:numId w:val="28"/>
        </w:numPr>
        <w:jc w:val="both"/>
      </w:pPr>
      <w:r>
        <w:t>§048 (wpływy z opłat za zezwolenia na sprzedaż napojów alkoholowych) – 334 694,76 zł;</w:t>
      </w:r>
    </w:p>
    <w:p w:rsidR="00383F0B" w:rsidRDefault="002B3B2A">
      <w:pPr>
        <w:pStyle w:val="Akapitzlist"/>
        <w:numPr>
          <w:ilvl w:val="0"/>
          <w:numId w:val="28"/>
        </w:numPr>
        <w:jc w:val="both"/>
      </w:pPr>
      <w:r>
        <w:t>§027 (wpływy z części opłaty za zezwolenie na sprzedaż napojów alkoholowych w obrocie hurtowym) – 87 591,00 zł;</w:t>
      </w:r>
    </w:p>
    <w:p w:rsidR="00383F0B" w:rsidRDefault="002B3B2A">
      <w:pPr>
        <w:pStyle w:val="Akapitzlist"/>
        <w:numPr>
          <w:ilvl w:val="0"/>
          <w:numId w:val="28"/>
        </w:numPr>
        <w:jc w:val="both"/>
      </w:pPr>
      <w:r>
        <w:t>§066 (wpływy z opłat za korzystanie z wychowania przedszkolnego) – 87 558,00 zł.</w:t>
      </w:r>
    </w:p>
    <w:p w:rsidR="00383F0B" w:rsidRDefault="002B3B2A">
      <w:pPr>
        <w:pStyle w:val="SmallSubtitle"/>
      </w:pPr>
      <w:r>
        <w:t>Pozostałe dochody bieżące</w:t>
      </w:r>
    </w:p>
    <w:p w:rsidR="00383F0B" w:rsidRDefault="002B3B2A">
      <w:pPr>
        <w:jc w:val="both"/>
      </w:pPr>
      <w:r>
        <w:t>Pozostałe dochody bieżące to dochody niesklasyfikowane w ramach wcześniejszych grup. W okresie sprawozdawczym przewiduje się wykonanie na poziomie 2 709 062,90 zł. Plan w pierwszym półroczu został wykonany w kwocie 1 652 301,83 zł, co stanowi 60,99% założeń.</w:t>
      </w:r>
    </w:p>
    <w:p w:rsidR="00383F0B" w:rsidRDefault="002B3B2A">
      <w:pPr>
        <w:pStyle w:val="SmallSubtitle"/>
      </w:pPr>
      <w:r>
        <w:lastRenderedPageBreak/>
        <w:t>Dochody z majątku</w:t>
      </w:r>
    </w:p>
    <w:p w:rsidR="00383F0B" w:rsidRDefault="002B3B2A">
      <w:pPr>
        <w:jc w:val="both"/>
      </w:pPr>
      <w:r>
        <w:t>Dochody z majątku zostały zaplanowane na poziomie 5 247 410,20 zł, natomiast zrealizowane w pierwszym półroczu 2023 roku w kwocie 570 857,24 zł, co stanowi 10,88% realizacji planu, przy czym:</w:t>
      </w:r>
    </w:p>
    <w:p w:rsidR="00383F0B" w:rsidRDefault="002B3B2A">
      <w:pPr>
        <w:pStyle w:val="Akapitzlist"/>
        <w:numPr>
          <w:ilvl w:val="0"/>
          <w:numId w:val="29"/>
        </w:numPr>
        <w:jc w:val="both"/>
      </w:pPr>
      <w:r>
        <w:t>wpłaty z tytułu odpłatnego nabycia prawa własności oraz prawa użytkowania wieczystego nieruchomości wyniosły 540 017,40 zł;</w:t>
      </w:r>
    </w:p>
    <w:p w:rsidR="00383F0B" w:rsidRDefault="002B3B2A">
      <w:pPr>
        <w:pStyle w:val="Akapitzlist"/>
        <w:numPr>
          <w:ilvl w:val="0"/>
          <w:numId w:val="29"/>
        </w:numPr>
        <w:jc w:val="both"/>
      </w:pPr>
      <w:r>
        <w:t>wpływy z tytułu przekształcenia prawa użytkowania wieczystego w prawo własności wyniosły 30 839,84 zł.</w:t>
      </w:r>
    </w:p>
    <w:p w:rsidR="00383F0B" w:rsidRDefault="002B3B2A">
      <w:pPr>
        <w:pStyle w:val="SmallSubtitle"/>
      </w:pPr>
      <w:r>
        <w:t>Dotacje i środki na inwestycje</w:t>
      </w:r>
    </w:p>
    <w:p w:rsidR="00383F0B" w:rsidRDefault="002B3B2A">
      <w:pPr>
        <w:jc w:val="both"/>
      </w:pPr>
      <w:r>
        <w:t>Dotacje i środki na inwestycje w 2023 roku zostały zaplanowane na poziomie 27 543 852,25 zł, natomiast zrealizowane w pierwszym półroczu w kwocie 5 582 277,42 zł, co stanowi 20,27% realizacji planu.</w:t>
      </w:r>
    </w:p>
    <w:p w:rsidR="00383F0B" w:rsidRDefault="002B3B2A">
      <w:pPr>
        <w:jc w:val="both"/>
      </w:pPr>
      <w:r>
        <w:t>Największy poziom dotacji i środków na inwestycje w pierwszym półroczu Gmina uzyskała na realizację zadań w obszarze:</w:t>
      </w:r>
    </w:p>
    <w:p w:rsidR="00383F0B" w:rsidRDefault="002B3B2A">
      <w:pPr>
        <w:pStyle w:val="Akapitzlist"/>
        <w:numPr>
          <w:ilvl w:val="0"/>
          <w:numId w:val="30"/>
        </w:numPr>
        <w:jc w:val="both"/>
      </w:pPr>
      <w:r>
        <w:t>Drogi publiczne gminne w ramach działu Transport i łączność – 3 694 138,57 zł;</w:t>
      </w:r>
    </w:p>
    <w:p w:rsidR="00383F0B" w:rsidRDefault="002B3B2A">
      <w:pPr>
        <w:pStyle w:val="Akapitzlist"/>
        <w:numPr>
          <w:ilvl w:val="0"/>
          <w:numId w:val="30"/>
        </w:numPr>
        <w:jc w:val="both"/>
      </w:pPr>
      <w:r>
        <w:t>Szkoły podstawowe w ramach działu Oświata i wychowanie – 1 816 844,71 zł;</w:t>
      </w:r>
    </w:p>
    <w:p w:rsidR="00383F0B" w:rsidRDefault="002B3B2A">
      <w:pPr>
        <w:pStyle w:val="Akapitzlist"/>
        <w:numPr>
          <w:ilvl w:val="0"/>
          <w:numId w:val="30"/>
        </w:numPr>
        <w:jc w:val="both"/>
      </w:pPr>
      <w:r>
        <w:t>Pozostała działalność w ramach działu Turystyka – 71 294,14 zł.</w:t>
      </w:r>
    </w:p>
    <w:p w:rsidR="00383F0B" w:rsidRDefault="002B3B2A">
      <w:pPr>
        <w:pStyle w:val="SmallSubtitle"/>
      </w:pPr>
      <w:r>
        <w:t>Pozostałe dochody majątkowe</w:t>
      </w:r>
    </w:p>
    <w:p w:rsidR="00383F0B" w:rsidRDefault="002B3B2A">
      <w:pPr>
        <w:jc w:val="both"/>
      </w:pPr>
      <w:r>
        <w:t>Pozostałe dochody majątkowe to dochody niesklasyfikowane w ramach wcześniejszych grup. W okresie sprawozdawczym przewidywano wykonanie na poziomie 0,00 zł. Plan w pierwszym półroczu został wykonany w kwocie 45 660,25 zł.</w:t>
      </w:r>
    </w:p>
    <w:p w:rsidR="00383F0B" w:rsidRDefault="002B3B2A">
      <w:pPr>
        <w:jc w:val="both"/>
      </w:pPr>
      <w:r>
        <w:t>W ramach pozostałych dochodów majątkowych sklasyfikowane zostały wpłata środków finansowych z niewykorzystanych w terminie wydatków, które nie wygasają z upływem roku budżetowego w kwocie 45 660,25 zł.</w:t>
      </w:r>
    </w:p>
    <w:p w:rsidR="00383F0B" w:rsidRDefault="002B3B2A">
      <w:pPr>
        <w:pStyle w:val="SmallSubtitle"/>
      </w:pPr>
      <w:r>
        <w:t>Wydatki</w:t>
      </w:r>
    </w:p>
    <w:p w:rsidR="00383F0B" w:rsidRDefault="002B3B2A">
      <w:pPr>
        <w:jc w:val="both"/>
      </w:pPr>
      <w:r>
        <w:t>Wydatki budżetu Gminy w pierwszym półroczu 2023 roku wyniosły 52 784 373,88 zł, a ich realizacja wyniosła 43,42% planu wynoszącego 121 580 080,98 zł. W pierwszym półroczu 2023 roku wydatki bieżące zostały wykonane na poziomie 47 924 088,94 zł, tj. w 55,90% w stosunku do planu po zmianach wynoszącego 85 733 587,44 zł, z kolei majątkowe zostały wykonane na poziomie 4 860 284,94 zł, tj. w 13,56% w stosunku do planu po zmianach wynoszącego 35 846 493,54 zł.</w:t>
      </w:r>
    </w:p>
    <w:p w:rsidR="00383F0B" w:rsidRDefault="002B3B2A">
      <w:pPr>
        <w:jc w:val="both"/>
      </w:pPr>
      <w:r>
        <w:t>Realizację planu wydatków w pierwszym półroczu 2023 roku przedstawia tabela poniżej.</w:t>
      </w:r>
    </w:p>
    <w:tbl>
      <w:tblPr>
        <w:tblStyle w:val="TabelaCurulis"/>
        <w:tblW w:w="5000" w:type="pct"/>
        <w:tblLook w:val="04A0" w:firstRow="1" w:lastRow="0" w:firstColumn="1" w:lastColumn="0" w:noHBand="0" w:noVBand="1"/>
      </w:tblPr>
      <w:tblGrid>
        <w:gridCol w:w="504"/>
        <w:gridCol w:w="2782"/>
        <w:gridCol w:w="1579"/>
        <w:gridCol w:w="1579"/>
        <w:gridCol w:w="1579"/>
        <w:gridCol w:w="1278"/>
        <w:gridCol w:w="733"/>
      </w:tblGrid>
      <w:tr w:rsidR="00383F0B" w:rsidTr="00383F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color w:val="FFFFFF"/>
                <w:sz w:val="15"/>
                <w:szCs w:val="15"/>
              </w:rPr>
            </w:pPr>
            <w:r>
              <w:rPr>
                <w:color w:val="FFFFFF"/>
                <w:sz w:val="15"/>
                <w:szCs w:val="15"/>
              </w:rPr>
              <w:t>Dział</w:t>
            </w:r>
          </w:p>
        </w:tc>
        <w:tc>
          <w:tcPr>
            <w:tcW w:w="15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Wyszczególnienie</w:t>
            </w:r>
          </w:p>
        </w:tc>
        <w:tc>
          <w:tcPr>
            <w:tcW w:w="9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Plan na 1.01.2023 r. (w zł)</w:t>
            </w:r>
          </w:p>
        </w:tc>
        <w:tc>
          <w:tcPr>
            <w:tcW w:w="9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Plan na 30.06.2023 r. (w zł)</w:t>
            </w:r>
          </w:p>
        </w:tc>
        <w:tc>
          <w:tcPr>
            <w:tcW w:w="90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Wykonanie (w zł)</w:t>
            </w:r>
          </w:p>
        </w:tc>
        <w:tc>
          <w:tcPr>
            <w:tcW w:w="75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Realizacja planu po zmianach (w %)</w:t>
            </w:r>
          </w:p>
        </w:tc>
        <w:tc>
          <w:tcPr>
            <w:tcW w:w="250" w:type="pct"/>
            <w:tcMar>
              <w:top w:w="11" w:type="dxa"/>
              <w:left w:w="85" w:type="dxa"/>
              <w:bottom w:w="6" w:type="dxa"/>
              <w:right w:w="85" w:type="dxa"/>
            </w:tcMar>
          </w:tcPr>
          <w:p w:rsidR="00383F0B" w:rsidRDefault="002B3B2A">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Udział (w %)</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801</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Oświata i wychowanie</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43 131 868,67</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49 694 275,08</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19 666 910,40</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39,58%</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37,26%</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852</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Pomoc społeczna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5 668 074,00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8 716 013,05</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5 891 289,46</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67,59%</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11,16%</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855</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Rodzina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9 011 447,65</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9 261 985,35</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5 750 024,84</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62,08%</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10,89%</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600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Transport i łączność</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3 283 564,84</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17 461 075,44</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5 417 957,67</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31,03%</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10,26%</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750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Administracja publiczna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7 854 777,92</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8 556 125,85</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4 832 735,74</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56,48%</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9,16%</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900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komunalna i ochrona środowiska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9 636 145,69</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15 921 171,32</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4 524 988,34</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28,42%</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8,57%</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400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Wytwarzanie i zaopatrywanie w energię elektryczną, gaz i wodę</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1 816 250,00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1 694 202,41</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93,28%</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3,21%</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921</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i ochrona dziedzictwa narodowego</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2 484 343,72</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2 557 543,72</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1 289 980,38</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50,44%</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2,44%</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010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Rolnictwo i łowiectwo</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68 896,19</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1 018 486,58</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971 924,38</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95,43%</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1,84%</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754</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Bezpieczeństwo publiczne i ochrona przeciwpożarowa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846 414,31</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1 774 414,31</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620 713,04</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34,98%</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1,18%</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757</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Obsługa długu publicznego</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720 000,00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842 650,28</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601 527,23</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71,39%</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1,14%</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700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Gospodarka mieszkaniowa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810 839,00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920 627,29</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532 945,28</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57,89%</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1,01%</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926</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Kultura fizyczna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938 923,16</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1 055 164,21</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397 665,93</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37,69%</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0,75%</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853</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Pozostałe zadania w zakresie polityki społecznej</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205 192,60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186 007,50</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90,65%</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0,35%</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854</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Edukacyjna opieka wychowawcza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105 700,00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242 235,00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171 977,20</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71,00%</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0,33%</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851</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Ochrona zdrowia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410 000,00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818 789,90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158 737,89</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19,39%</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0,30%</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630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Turystyka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177 500,00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192 500,00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43 489,86</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22,59%</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0,08%</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lastRenderedPageBreak/>
              <w:t>710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Działalność usługowa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122 000,00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206 100,00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25 900,28</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12,57%</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0,05%</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050</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Rybołówstwo i rybactwo</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3 655,05</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12,18%</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&lt; 0,01%</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751</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Urzędy naczelnych organów władzy państwowej, kontroli i ochrony prawa oraz sądownictwa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3 481,00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3 481,00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1 741,00</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50,01%</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&lt; 0,01%</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tcMar>
              <w:top w:w="11" w:type="dxa"/>
              <w:left w:w="85" w:type="dxa"/>
              <w:bottom w:w="6" w:type="dxa"/>
              <w:right w:w="85" w:type="dxa"/>
            </w:tcMar>
          </w:tcPr>
          <w:p w:rsidR="00383F0B" w:rsidRDefault="002B3B2A">
            <w:pPr>
              <w:rPr>
                <w:sz w:val="15"/>
                <w:szCs w:val="15"/>
              </w:rPr>
            </w:pPr>
            <w:r>
              <w:rPr>
                <w:sz w:val="15"/>
                <w:szCs w:val="15"/>
              </w:rPr>
              <w:t>758</w:t>
            </w:r>
          </w:p>
        </w:tc>
        <w:tc>
          <w:tcPr>
            <w:tcW w:w="15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Różne rozliczenia</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286 000,00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286 000,00</w:t>
            </w:r>
          </w:p>
        </w:tc>
        <w:tc>
          <w:tcPr>
            <w:tcW w:w="90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7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250" w:type="pct"/>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383F0B" w:rsidTr="00383F0B">
        <w:tc>
          <w:tcPr>
            <w:cnfStyle w:val="001000000000" w:firstRow="0" w:lastRow="0" w:firstColumn="1" w:lastColumn="0" w:oddVBand="0" w:evenVBand="0" w:oddHBand="0" w:evenHBand="0" w:firstRowFirstColumn="0" w:firstRowLastColumn="0" w:lastRowFirstColumn="0" w:lastRowLastColumn="0"/>
            <w:tcW w:w="50" w:type="pct"/>
            <w:shd w:val="clear" w:color="auto" w:fill="F3F3F4"/>
            <w:tcMar>
              <w:top w:w="11" w:type="dxa"/>
              <w:left w:w="85" w:type="dxa"/>
              <w:bottom w:w="6" w:type="dxa"/>
              <w:right w:w="85" w:type="dxa"/>
            </w:tcMar>
          </w:tcPr>
          <w:p w:rsidR="00383F0B" w:rsidRDefault="00383F0B">
            <w:pPr>
              <w:rPr>
                <w:b/>
                <w:bCs/>
                <w:color w:val="000000"/>
                <w:sz w:val="15"/>
                <w:szCs w:val="15"/>
              </w:rPr>
            </w:pPr>
          </w:p>
        </w:tc>
        <w:tc>
          <w:tcPr>
            <w:tcW w:w="1500" w:type="pct"/>
            <w:shd w:val="clear" w:color="auto" w:fill="F3F3F4"/>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 WYDATKI OGÓŁEM</w:t>
            </w:r>
          </w:p>
        </w:tc>
        <w:tc>
          <w:tcPr>
            <w:tcW w:w="900" w:type="pct"/>
            <w:shd w:val="clear" w:color="auto" w:fill="F3F3F4"/>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85 629 976,15</w:t>
            </w:r>
          </w:p>
        </w:tc>
        <w:tc>
          <w:tcPr>
            <w:tcW w:w="900" w:type="pct"/>
            <w:shd w:val="clear" w:color="auto" w:fill="F3F3F4"/>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121 580 080,98</w:t>
            </w:r>
          </w:p>
        </w:tc>
        <w:tc>
          <w:tcPr>
            <w:tcW w:w="900" w:type="pct"/>
            <w:shd w:val="clear" w:color="auto" w:fill="F3F3F4"/>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52 784 373,88</w:t>
            </w:r>
          </w:p>
        </w:tc>
        <w:tc>
          <w:tcPr>
            <w:tcW w:w="750" w:type="pct"/>
            <w:shd w:val="clear" w:color="auto" w:fill="F3F3F4"/>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43,42%</w:t>
            </w:r>
          </w:p>
        </w:tc>
        <w:tc>
          <w:tcPr>
            <w:tcW w:w="250" w:type="pct"/>
            <w:shd w:val="clear" w:color="auto" w:fill="F3F3F4"/>
            <w:tcMar>
              <w:top w:w="11" w:type="dxa"/>
              <w:left w:w="85" w:type="dxa"/>
              <w:bottom w:w="6" w:type="dxa"/>
              <w:right w:w="85" w:type="dxa"/>
            </w:tcMar>
          </w:tcPr>
          <w:p w:rsidR="00383F0B" w:rsidRDefault="002B3B2A">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100,00%</w:t>
            </w:r>
          </w:p>
        </w:tc>
      </w:tr>
    </w:tbl>
    <w:p w:rsidR="00383F0B" w:rsidRDefault="00383F0B">
      <w:pPr>
        <w:jc w:val="both"/>
      </w:pPr>
    </w:p>
    <w:p w:rsidR="00383F0B" w:rsidRDefault="002B3B2A">
      <w:pPr>
        <w:jc w:val="both"/>
      </w:pPr>
      <w:r>
        <w:t>Podział wydatków wg rodzajów przedstawia się następująco:</w:t>
      </w:r>
    </w:p>
    <w:p w:rsidR="00383F0B" w:rsidRDefault="002B3B2A">
      <w:pPr>
        <w:pStyle w:val="Akapitzlist"/>
        <w:numPr>
          <w:ilvl w:val="0"/>
          <w:numId w:val="31"/>
        </w:numPr>
        <w:jc w:val="both"/>
      </w:pPr>
      <w:r>
        <w:t>wydatki bieżące zostały wykonane na poziomie 47 924 088,94 zł, tj. w 55,90% w stosunku do planu po zmianach wynoszącego 85 733 587,44 zł, z tego:</w:t>
      </w:r>
    </w:p>
    <w:p w:rsidR="00383F0B" w:rsidRDefault="002B3B2A">
      <w:pPr>
        <w:pStyle w:val="Akapitzlist"/>
        <w:numPr>
          <w:ilvl w:val="1"/>
          <w:numId w:val="31"/>
        </w:numPr>
        <w:jc w:val="both"/>
      </w:pPr>
      <w:r>
        <w:t>wynagrodzenia i składki od nich naliczane – 20 114 829,32 zł, tj. 53,85% planu wynoszącego 37 350 123,94 zł, z tego: wynagrodzenia osobowe nauczycieli 8 121 438,98 zł, wynagrodzenia osobowe pracowników 6 169 925,13 zł, składki na ubezpieczenia społeczne 3 086 514,52 zł, dodatkowe wynagrodzenie roczne nauczycieli 1 195 902,34 zł, dodatkowe wynagrodzenie roczne 839 467,50 zł, składki na Fundusz Pracy oraz Fundusz Solidarnościowy 285 604,55 zł, wynagrodzenia bezosobowe 220 072,63 zł, wynagrodzenia nauczycieli wypłacane w związku z pomocą obywatelom Ukrainy 94 561,13 zł, wynagrodzenia i uposażenia wypłacane w związku z pomocą obywatelom Ukrainy 46 858,77 zł, składki i inne pochodne od wynagrodzeń pracowników wypłacanych w związku z pomocą obywatelom Ukrainy 24 622,10 zł, wpłaty na PPK finansowane przez podmiot zatrudniający 24 108,67 zł, honoraria, wynagrodzenia agencyjno-prowizyjne i wynagrodzenia bezosobowe wypłacane w związku z pomocą obywatelom Ukrainy 5 000,00 zł, wynagrodzenia agencyjno-prowizyjne 753,00 zł;</w:t>
      </w:r>
    </w:p>
    <w:p w:rsidR="00383F0B" w:rsidRDefault="002B3B2A">
      <w:pPr>
        <w:pStyle w:val="Akapitzlist"/>
        <w:numPr>
          <w:ilvl w:val="1"/>
          <w:numId w:val="31"/>
        </w:numPr>
        <w:jc w:val="both"/>
      </w:pPr>
      <w:r>
        <w:t>świadczenia na rzecz osób fizycznych – 5 970 085,16 zł, tj. 59,98% planu wynoszącego 9 953 378,74 zł, z tego: świadczenia społeczne 4 782 019,64 zł, różne wydatki na rzecz osób fizycznych  379 170,84 zł, wydatki osobowe niezaliczone do wynagrodzeń 250 836,38 zł, świadczenia związane z udzielaniem pomocy obywatelom Ukrainy 248 680,00 zł, świadczenia społeczne wypłacane obywatelom Ukrainy przebywającym na terytorium RP 157 935,50 zł, stypendia dla uczniów 151 442,80 zł;</w:t>
      </w:r>
    </w:p>
    <w:p w:rsidR="00383F0B" w:rsidRDefault="002B3B2A">
      <w:pPr>
        <w:pStyle w:val="Akapitzlist"/>
        <w:numPr>
          <w:ilvl w:val="1"/>
          <w:numId w:val="31"/>
        </w:numPr>
        <w:jc w:val="both"/>
      </w:pPr>
      <w:r>
        <w:t>dotacje – 4 024 902,56 zł, tj. 50,81% planu wynoszącego 7 920 904,02 zł,</w:t>
      </w:r>
    </w:p>
    <w:p w:rsidR="00383F0B" w:rsidRDefault="002B3B2A">
      <w:pPr>
        <w:pStyle w:val="Akapitzlist"/>
        <w:numPr>
          <w:ilvl w:val="1"/>
          <w:numId w:val="31"/>
        </w:numPr>
        <w:jc w:val="both"/>
      </w:pPr>
      <w:r>
        <w:t>wydatki na programy finansowane z udziałem środków, o których mowa w art. 5 ust. 1 pkt 2, 3 – 446 045,40 zł, tj. 71,53% planu wynoszącego 623 543,45 zł,</w:t>
      </w:r>
    </w:p>
    <w:p w:rsidR="00383F0B" w:rsidRDefault="002B3B2A">
      <w:pPr>
        <w:pStyle w:val="Akapitzlist"/>
        <w:numPr>
          <w:ilvl w:val="1"/>
          <w:numId w:val="31"/>
        </w:numPr>
        <w:jc w:val="both"/>
      </w:pPr>
      <w:r>
        <w:t>wydatki na obsługę długu publicznego – 601 527,23 zł, tj. 71,39% planu wynoszącego 842 650,28 zł,</w:t>
      </w:r>
    </w:p>
    <w:p w:rsidR="00383F0B" w:rsidRDefault="002B3B2A">
      <w:pPr>
        <w:pStyle w:val="Akapitzlist"/>
        <w:numPr>
          <w:ilvl w:val="1"/>
          <w:numId w:val="31"/>
        </w:numPr>
        <w:jc w:val="both"/>
      </w:pPr>
      <w:r>
        <w:t xml:space="preserve">pozostałe wydatki bieżące – 16 754 350,27 zł, tj. 57,71% planu wynoszącego 29 030 638,01 zł, z tego: zakup usług pozostałych 6 717 473,82 zł, zakup usług związanych z pomocą obywatelom Ukrainy 2 064 328,23 zł, zakup materiałów i wyposażenia 1 920 971,80 zł, zakup energii 1 787 493,90 zł, odpisy na zakładowy fundusz świadczeń socjalnych 986 690,89 zł, różne opłaty i składki 890 603,56 zł, zakup usług przez jednostki samorządu terytorialnego od innych jednostek samorządu terytorialnego 875 544,20 zł, zakup usług remontowych 507 089,09 zł, zakup środków żywności 501 967,82 zł, składki na ubezpieczenie zdrowotne 114 255,40 zł, zakup usług obejmujących wykonanie ekspertyz, analiz i opinii 62 800,00 zł, opłaty z tytułu zakupu usług telekomunikacyjnych 56 693,05 zł, zwrot dotacji oraz płatności wykorzystanych niezgodnie z przeznaczeniem lub wykorzystanych z naruszeniem procedur, o których mowa w art. 184 ustawy, pobranych nienależnie lub w nadmiernej wysokości 46 049,19 zł, podróże służbowe krajowe 42 766,94 zł, zakup towarów (w szczególności materiałów, leków, żywności) w związku z pomocą obywatelom Ukrainy 42 390,87 zł, szkolenia pracowników niebędących członkami korpusu służby cywilnej  39 340,52 zł, pozostałe wydatki bieżące na zadania związane z pomocą obywatelom Ukrainy 36 374,07 zł, zakup środków dydaktycznych i książek 24 445,79 zł, zakup usług zdrowotnych 12 926,00 zł, wpłaty gmin na rzecz izb rolniczych w wysokości 2% uzyskanych wpływów z podatku rolnego 10 334,00 zł, opłaty na rzecz budżetów jednostek samorządu terytorialnego 5 776,52 zł, kary, odszkodowania i grzywny wypłacane na rzecz osób prawnych i innych jednostek organizacyjnych 2 060,38 zł, odsetki od dotacji oraz płatności: wykorzystanych niezgodnie z przeznaczeniem lub wykorzystanych z naruszeniem procedur, o których mowa w art. 184 ustawy, pobranych nienależnie lub  w nadmiernej wysokości 1 872,64 zł, koszty postępowania sądowego i prokuratorskiego 1 392,51 zł, nagrody konkursowe </w:t>
      </w:r>
      <w:r>
        <w:lastRenderedPageBreak/>
        <w:t>1 350,00 zł, pozostałe podatki na rzecz budżetów jednostek samorządu terytorialnego 1 070,00 zł, podatek od nieruchomości 180,00 zł, pozostałe odsetki 109,08 zł;</w:t>
      </w:r>
    </w:p>
    <w:p w:rsidR="00383F0B" w:rsidRDefault="002B3B2A">
      <w:pPr>
        <w:pStyle w:val="Akapitzlist"/>
        <w:numPr>
          <w:ilvl w:val="0"/>
          <w:numId w:val="31"/>
        </w:numPr>
        <w:jc w:val="both"/>
      </w:pPr>
      <w:r>
        <w:t>wydatki majątkowe zostały wykonane na poziomie 4 860 284,94 zł, tj. w 13,56% w stosunku do planu po zmianach wynoszącego 35 846 493,54 zł, z tego:</w:t>
      </w:r>
    </w:p>
    <w:p w:rsidR="00383F0B" w:rsidRDefault="002B3B2A">
      <w:pPr>
        <w:pStyle w:val="Akapitzlist"/>
        <w:numPr>
          <w:ilvl w:val="1"/>
          <w:numId w:val="31"/>
        </w:numPr>
        <w:jc w:val="both"/>
      </w:pPr>
      <w:r>
        <w:t>wydatki inwestycyjne i zakupy inwestycyjne – 4 660 284,94 zł, tj. 13,07% planu wynoszącego 35 646 493,54 zł,</w:t>
      </w:r>
    </w:p>
    <w:p w:rsidR="00383F0B" w:rsidRDefault="002B3B2A">
      <w:pPr>
        <w:pStyle w:val="Akapitzlist"/>
        <w:numPr>
          <w:ilvl w:val="1"/>
          <w:numId w:val="31"/>
        </w:numPr>
        <w:jc w:val="both"/>
      </w:pPr>
      <w:r>
        <w:t>pozostałe wydatki majątkowe – 200 000,00 zł, tj. 100,00% planu wynoszącego 200 000,00 zł,</w:t>
      </w:r>
    </w:p>
    <w:p w:rsidR="00383F0B" w:rsidRDefault="002B3B2A">
      <w:pPr>
        <w:pStyle w:val="SmallSubtitle"/>
      </w:pPr>
      <w:r>
        <w:t>Przychody i rozchody</w:t>
      </w:r>
    </w:p>
    <w:p w:rsidR="00383F0B" w:rsidRDefault="002B3B2A">
      <w:pPr>
        <w:jc w:val="both"/>
      </w:pPr>
      <w:r>
        <w:t>Przychody w pierwszym półroczu 2023 roku zrealizowano w łącznej kwocie 5 539 422,35 zł, (co stanowi 65,28% planu), w tym:</w:t>
      </w:r>
    </w:p>
    <w:p w:rsidR="00383F0B" w:rsidRDefault="002B3B2A">
      <w:pPr>
        <w:pStyle w:val="Akapitzlist"/>
        <w:numPr>
          <w:ilvl w:val="0"/>
          <w:numId w:val="32"/>
        </w:numPr>
        <w:jc w:val="both"/>
      </w:pPr>
      <w:r>
        <w:t>niewykorzystane środki pieniężne, o których mowa w art. 217 ust. 2 pkt 8 ustawy o finansach publicznych – 1 705 312,18 zł;</w:t>
      </w:r>
    </w:p>
    <w:p w:rsidR="00383F0B" w:rsidRDefault="002B3B2A">
      <w:pPr>
        <w:pStyle w:val="Akapitzlist"/>
        <w:numPr>
          <w:ilvl w:val="0"/>
          <w:numId w:val="32"/>
        </w:numPr>
        <w:jc w:val="both"/>
      </w:pPr>
      <w:r>
        <w:t>wolne środki, o których mowa w art. 217 ust. 2 pkt 6 ustawy o finansach publicznych – 3 834 110,17 zł.</w:t>
      </w:r>
    </w:p>
    <w:p w:rsidR="00383F0B" w:rsidRDefault="002B3B2A">
      <w:pPr>
        <w:jc w:val="both"/>
      </w:pPr>
      <w:r>
        <w:t>Rozchody w pierwszym półroczu 2023 roku zrealizowano w łącznej kwocie 400 000,00 zł (co stanowi 18,04% planu), w tym:</w:t>
      </w:r>
    </w:p>
    <w:p w:rsidR="00383F0B" w:rsidRDefault="002B3B2A">
      <w:pPr>
        <w:pStyle w:val="Akapitzlist"/>
        <w:numPr>
          <w:ilvl w:val="0"/>
          <w:numId w:val="33"/>
        </w:numPr>
        <w:jc w:val="both"/>
      </w:pPr>
      <w:r>
        <w:t>Spłaty kredytów i pożyczek, wykup papierów wartościowych – 400 000,00 zł.</w:t>
      </w:r>
    </w:p>
    <w:sectPr w:rsidR="00383F0B">
      <w:footerReference w:type="even" r:id="rId9"/>
      <w:footerReference w:type="default" r:id="rId10"/>
      <w:footerReference w:type="first" r:id="rId11"/>
      <w:pgSz w:w="11906" w:h="16838"/>
      <w:pgMar w:top="992" w:right="1021" w:bottom="992" w:left="1021"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84" w:rsidRDefault="00370184">
      <w:pPr>
        <w:spacing w:after="0" w:line="240" w:lineRule="auto"/>
      </w:pPr>
      <w:r>
        <w:separator/>
      </w:r>
    </w:p>
  </w:endnote>
  <w:endnote w:type="continuationSeparator" w:id="0">
    <w:p w:rsidR="00370184" w:rsidRDefault="0037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0B" w:rsidRDefault="002B3B2A">
    <w:pPr>
      <w:pStyle w:val="Stopka"/>
      <w:jc w:val="center"/>
    </w:pPr>
    <w:r>
      <w:fldChar w:fldCharType="begin"/>
    </w:r>
    <w:r>
      <w:instrText>PAGE   \* MERGEFORMAT</w:instrText>
    </w:r>
    <w:r>
      <w:fldChar w:fldCharType="separate"/>
    </w:r>
    <w:r w:rsidR="008603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0B" w:rsidRDefault="002B3B2A">
    <w:pPr>
      <w:pStyle w:val="Stopka"/>
      <w:jc w:val="center"/>
    </w:pPr>
    <w:r>
      <w:fldChar w:fldCharType="begin"/>
    </w:r>
    <w:r>
      <w:instrText>PAGE   \* MERGEFORMAT</w:instrText>
    </w:r>
    <w:r>
      <w:fldChar w:fldCharType="separate"/>
    </w:r>
    <w:r w:rsidR="008603AB">
      <w:rPr>
        <w:noProof/>
      </w:rPr>
      <w:t>3</w:t>
    </w:r>
    <w:r>
      <w:fldChar w:fldCharType="end"/>
    </w:r>
  </w:p>
  <w:p w:rsidR="00383F0B" w:rsidRDefault="00383F0B">
    <w:pPr>
      <w:pStyle w:val="Stopka"/>
      <w:ind w:left="-567"/>
      <w:jc w:val="right"/>
      <w:rPr>
        <w:vanis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0B" w:rsidRDefault="00383F0B">
    <w:pPr>
      <w:pStyle w:val="Stopka"/>
      <w:ind w:left="-567"/>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84" w:rsidRDefault="00370184">
      <w:pPr>
        <w:spacing w:after="0" w:line="240" w:lineRule="auto"/>
      </w:pPr>
      <w:r>
        <w:separator/>
      </w:r>
    </w:p>
  </w:footnote>
  <w:footnote w:type="continuationSeparator" w:id="0">
    <w:p w:rsidR="00370184" w:rsidRDefault="0037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76B"/>
    <w:multiLevelType w:val="multilevel"/>
    <w:tmpl w:val="A808EEA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223B36"/>
    <w:multiLevelType w:val="hybridMultilevel"/>
    <w:tmpl w:val="E4BA4F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32E3A5"/>
    <w:multiLevelType w:val="multilevel"/>
    <w:tmpl w:val="956A6D1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
    <w:nsid w:val="0E2AB8A8"/>
    <w:multiLevelType w:val="multilevel"/>
    <w:tmpl w:val="C4F2278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
    <w:nsid w:val="0E3CDEAB"/>
    <w:multiLevelType w:val="multilevel"/>
    <w:tmpl w:val="5098670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
    <w:nsid w:val="17083995"/>
    <w:multiLevelType w:val="hybridMultilevel"/>
    <w:tmpl w:val="AF54D1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251982"/>
    <w:multiLevelType w:val="hybridMultilevel"/>
    <w:tmpl w:val="22E292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93249D"/>
    <w:multiLevelType w:val="hybridMultilevel"/>
    <w:tmpl w:val="D632FE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B17914"/>
    <w:multiLevelType w:val="multilevel"/>
    <w:tmpl w:val="A13ABE12"/>
    <w:lvl w:ilvl="0">
      <w:start w:val="2"/>
      <w:numFmt w:val="decimal"/>
      <w:lvlText w:val="%1"/>
      <w:lvlJc w:val="left"/>
      <w:pPr>
        <w:ind w:left="525" w:hanging="525"/>
      </w:pPr>
      <w:rPr>
        <w:rFonts w:hint="default"/>
      </w:rPr>
    </w:lvl>
    <w:lvl w:ilvl="1">
      <w:start w:val="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94B7878"/>
    <w:multiLevelType w:val="multilevel"/>
    <w:tmpl w:val="6742EB1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0">
    <w:nsid w:val="1B43031C"/>
    <w:multiLevelType w:val="hybridMultilevel"/>
    <w:tmpl w:val="3A0EA5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483732"/>
    <w:multiLevelType w:val="hybridMultilevel"/>
    <w:tmpl w:val="A0205C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C83A5A"/>
    <w:multiLevelType w:val="multilevel"/>
    <w:tmpl w:val="D47E8A7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
    <w:nsid w:val="3EA2D6F1"/>
    <w:multiLevelType w:val="multilevel"/>
    <w:tmpl w:val="7960CD4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4">
    <w:nsid w:val="4321A77C"/>
    <w:multiLevelType w:val="multilevel"/>
    <w:tmpl w:val="8C88A7B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
    <w:nsid w:val="433B7B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3D6AC4"/>
    <w:multiLevelType w:val="multilevel"/>
    <w:tmpl w:val="BC4C29E6"/>
    <w:lvl w:ilvl="0">
      <w:start w:val="2"/>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457C677D"/>
    <w:multiLevelType w:val="hybridMultilevel"/>
    <w:tmpl w:val="DF566172"/>
    <w:lvl w:ilvl="0" w:tplc="CBD8A3CE">
      <w:start w:val="1"/>
      <w:numFmt w:val="decimal"/>
      <w:lvlText w:val="%1."/>
      <w:lvlJc w:val="left"/>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AD10A42"/>
    <w:multiLevelType w:val="multilevel"/>
    <w:tmpl w:val="F13063E8"/>
    <w:lvl w:ilvl="0">
      <w:start w:val="1"/>
      <w:numFmt w:val="decimal"/>
      <w:pStyle w:val="Nagwek1"/>
      <w:lvlText w:val="%1."/>
      <w:lvlJc w:val="left"/>
      <w:pPr>
        <w:ind w:left="0" w:firstLine="0"/>
      </w:pPr>
      <w:rPr>
        <w:rFonts w:hint="default"/>
      </w:rPr>
    </w:lvl>
    <w:lvl w:ilvl="1">
      <w:start w:val="1"/>
      <w:numFmt w:val="decimal"/>
      <w:pStyle w:val="Nagwek2"/>
      <w:isLgl/>
      <w:lvlText w:val="%1.%2."/>
      <w:lvlJc w:val="left"/>
      <w:pPr>
        <w:ind w:left="0" w:firstLine="0"/>
      </w:pPr>
      <w:rPr>
        <w:rFonts w:hint="default"/>
      </w:rPr>
    </w:lvl>
    <w:lvl w:ilvl="2">
      <w:start w:val="1"/>
      <w:numFmt w:val="decimal"/>
      <w:pStyle w:val="Nagwek3"/>
      <w:isLgl/>
      <w:lvlText w:val="%1.%2.%3."/>
      <w:lvlJc w:val="left"/>
      <w:pPr>
        <w:ind w:left="0" w:firstLine="0"/>
      </w:pPr>
    </w:lvl>
    <w:lvl w:ilvl="3">
      <w:start w:val="1"/>
      <w:numFmt w:val="decimal"/>
      <w:pStyle w:val="Styl3"/>
      <w:isLgl/>
      <w:lvlText w:val="%1.%2.%3.%4."/>
      <w:lvlJc w:val="left"/>
      <w:pPr>
        <w:ind w:left="0" w:firstLine="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4CF7D62C"/>
    <w:multiLevelType w:val="multilevel"/>
    <w:tmpl w:val="09F4525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
    <w:nsid w:val="557E19A3"/>
    <w:multiLevelType w:val="multilevel"/>
    <w:tmpl w:val="5A8E9420"/>
    <w:lvl w:ilvl="0">
      <w:start w:val="2"/>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5BE18B60"/>
    <w:multiLevelType w:val="multilevel"/>
    <w:tmpl w:val="C7D0F02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
    <w:nsid w:val="63DB04CC"/>
    <w:multiLevelType w:val="hybridMultilevel"/>
    <w:tmpl w:val="12CA0D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5138A11"/>
    <w:multiLevelType w:val="multilevel"/>
    <w:tmpl w:val="283A89E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
    <w:nsid w:val="672718CE"/>
    <w:multiLevelType w:val="multilevel"/>
    <w:tmpl w:val="730C2116"/>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C04FB8"/>
    <w:multiLevelType w:val="multilevel"/>
    <w:tmpl w:val="EEE41F9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
    <w:nsid w:val="69E71DAD"/>
    <w:multiLevelType w:val="hybridMultilevel"/>
    <w:tmpl w:val="8BD292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71A64E3E"/>
    <w:multiLevelType w:val="multilevel"/>
    <w:tmpl w:val="A75059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D474CF"/>
    <w:multiLevelType w:val="multilevel"/>
    <w:tmpl w:val="E0968EAA"/>
    <w:lvl w:ilvl="0">
      <w:start w:val="2"/>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6"/>
  </w:num>
  <w:num w:numId="3">
    <w:abstractNumId w:val="5"/>
  </w:num>
  <w:num w:numId="4">
    <w:abstractNumId w:val="2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28"/>
  </w:num>
  <w:num w:numId="11">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0"/>
  </w:num>
  <w:num w:numId="16">
    <w:abstractNumId w:val="17"/>
  </w:num>
  <w:num w:numId="17">
    <w:abstractNumId w:val="18"/>
  </w:num>
  <w:num w:numId="18">
    <w:abstractNumId w:val="15"/>
  </w:num>
  <w:num w:numId="19">
    <w:abstractNumId w:val="11"/>
  </w:num>
  <w:num w:numId="20">
    <w:abstractNumId w:val="22"/>
  </w:num>
  <w:num w:numId="21">
    <w:abstractNumId w:val="16"/>
  </w:num>
  <w:num w:numId="22">
    <w:abstractNumId w:val="24"/>
  </w:num>
  <w:num w:numId="23">
    <w:abstractNumId w:val="19"/>
  </w:num>
  <w:num w:numId="24">
    <w:abstractNumId w:val="25"/>
  </w:num>
  <w:num w:numId="25">
    <w:abstractNumId w:val="21"/>
  </w:num>
  <w:num w:numId="26">
    <w:abstractNumId w:val="4"/>
  </w:num>
  <w:num w:numId="27">
    <w:abstractNumId w:val="13"/>
  </w:num>
  <w:num w:numId="28">
    <w:abstractNumId w:val="12"/>
  </w:num>
  <w:num w:numId="29">
    <w:abstractNumId w:val="2"/>
  </w:num>
  <w:num w:numId="30">
    <w:abstractNumId w:val="3"/>
  </w:num>
  <w:num w:numId="31">
    <w:abstractNumId w:val="23"/>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0B"/>
    <w:rsid w:val="002B3B2A"/>
    <w:rsid w:val="00370184"/>
    <w:rsid w:val="00383F0B"/>
    <w:rsid w:val="003C26A2"/>
    <w:rsid w:val="008603AB"/>
    <w:rsid w:val="00A97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D0D0D" w:themeColor="text1" w:themeTint="F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rFonts w:ascii="Times New Roman" w:hAnsi="Times New Roman"/>
    </w:rPr>
  </w:style>
  <w:style w:type="paragraph" w:styleId="Nagwek1">
    <w:name w:val="heading 1"/>
    <w:basedOn w:val="Normalny"/>
    <w:next w:val="Normalny"/>
    <w:link w:val="Nagwek1Znak"/>
    <w:qFormat/>
    <w:pPr>
      <w:keepNext/>
      <w:keepLines/>
      <w:numPr>
        <w:numId w:val="17"/>
      </w:numPr>
      <w:spacing w:before="840" w:after="840"/>
      <w:contextualSpacing/>
      <w:outlineLvl w:val="0"/>
    </w:pPr>
    <w:rPr>
      <w:rFonts w:asciiTheme="majorHAnsi" w:eastAsiaTheme="majorEastAsia" w:hAnsiTheme="majorHAnsi" w:cstheme="majorBidi"/>
      <w:b/>
      <w:color w:val="2F5C89" w:themeColor="accent1"/>
      <w:sz w:val="24"/>
      <w:szCs w:val="24"/>
    </w:rPr>
  </w:style>
  <w:style w:type="paragraph" w:styleId="Nagwek2">
    <w:name w:val="heading 2"/>
    <w:basedOn w:val="Normalny"/>
    <w:next w:val="Normalny"/>
    <w:link w:val="Nagwek2Znak"/>
    <w:qFormat/>
    <w:pPr>
      <w:keepNext/>
      <w:keepLines/>
      <w:numPr>
        <w:ilvl w:val="1"/>
        <w:numId w:val="17"/>
      </w:numPr>
      <w:spacing w:before="480"/>
      <w:contextualSpacing/>
      <w:outlineLvl w:val="1"/>
    </w:pPr>
    <w:rPr>
      <w:rFonts w:asciiTheme="majorHAnsi" w:eastAsiaTheme="majorEastAsia" w:hAnsiTheme="majorHAnsi" w:cstheme="majorBidi"/>
      <w:b/>
      <w:smallCaps/>
      <w:color w:val="234466" w:themeColor="accent1" w:themeShade="BF"/>
    </w:rPr>
  </w:style>
  <w:style w:type="paragraph" w:styleId="Nagwek3">
    <w:name w:val="heading 3"/>
    <w:basedOn w:val="Normalny"/>
    <w:next w:val="Normalny"/>
    <w:link w:val="Nagwek3Znak"/>
    <w:qFormat/>
    <w:pPr>
      <w:keepNext/>
      <w:keepLines/>
      <w:numPr>
        <w:ilvl w:val="2"/>
        <w:numId w:val="17"/>
      </w:numPr>
      <w:spacing w:before="480" w:after="40" w:line="360" w:lineRule="auto"/>
      <w:contextualSpacing/>
      <w:outlineLvl w:val="2"/>
    </w:pPr>
    <w:rPr>
      <w:rFonts w:asciiTheme="majorHAnsi" w:eastAsiaTheme="majorEastAsia" w:hAnsiTheme="majorHAnsi" w:cstheme="majorBidi"/>
      <w:b/>
      <w:smallCaps/>
      <w:color w:val="3C3F49"/>
      <w:szCs w:val="24"/>
    </w:rPr>
  </w:style>
  <w:style w:type="paragraph" w:styleId="Nagwek4">
    <w:name w:val="heading 4"/>
    <w:basedOn w:val="Normalny"/>
    <w:next w:val="Normalny"/>
    <w:link w:val="Nagwek4Znak"/>
    <w:semiHidden/>
    <w:qFormat/>
    <w:pPr>
      <w:keepNext/>
      <w:keepLines/>
      <w:spacing w:before="240" w:after="40"/>
      <w:outlineLvl w:val="3"/>
    </w:pPr>
    <w:rPr>
      <w:rFonts w:asciiTheme="majorHAnsi" w:eastAsiaTheme="majorEastAsia" w:hAnsiTheme="majorHAnsi" w:cstheme="majorBidi"/>
      <w:b/>
      <w:iCs/>
      <w:smallCaps/>
      <w:color w:val="234466" w:themeColor="accent1" w:themeShade="BF"/>
    </w:rPr>
  </w:style>
  <w:style w:type="paragraph" w:styleId="Nagwek5">
    <w:name w:val="heading 5"/>
    <w:next w:val="Normalny"/>
    <w:pPr>
      <w:keepNext/>
      <w:spacing w:before="240" w:after="12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pPr>
      <w:spacing w:before="840" w:after="300" w:line="240" w:lineRule="auto"/>
      <w:contextualSpacing/>
      <w:jc w:val="center"/>
    </w:pPr>
    <w:rPr>
      <w:rFonts w:eastAsiaTheme="majorEastAsia" w:cstheme="majorBidi"/>
      <w:b/>
      <w:color w:val="3C3F49" w:themeColor="text2"/>
      <w:spacing w:val="5"/>
      <w:kern w:val="28"/>
      <w:sz w:val="72"/>
      <w:szCs w:val="48"/>
    </w:rPr>
  </w:style>
  <w:style w:type="paragraph" w:styleId="Podtytu">
    <w:name w:val="Subtitle"/>
    <w:basedOn w:val="Normalny"/>
    <w:next w:val="Normalny"/>
    <w:link w:val="PodtytuZnak"/>
    <w:qFormat/>
    <w:rPr>
      <w:rFonts w:eastAsiaTheme="minorEastAsia"/>
      <w:color w:val="auto"/>
      <w:szCs w:val="14"/>
    </w:rPr>
  </w:style>
  <w:style w:type="paragraph" w:styleId="Akapitzlist">
    <w:name w:val="List Paragraph"/>
    <w:basedOn w:val="Normalny"/>
    <w:qFormat/>
    <w:pPr>
      <w:ind w:left="720"/>
      <w:contextualSpacing/>
    </w:pPr>
  </w:style>
  <w:style w:type="paragraph" w:styleId="Tekstdymka">
    <w:name w:val="Balloon Text"/>
    <w:basedOn w:val="Normalny"/>
    <w:link w:val="TekstdymkaZnak"/>
    <w:semiHidden/>
    <w:pPr>
      <w:spacing w:after="0" w:line="240" w:lineRule="auto"/>
    </w:pPr>
    <w:rPr>
      <w:rFonts w:ascii="Segoe UI" w:hAnsi="Segoe UI" w:cs="Segoe UI"/>
      <w:sz w:val="18"/>
      <w:szCs w:val="18"/>
    </w:rPr>
  </w:style>
  <w:style w:type="paragraph" w:styleId="Cytatintensywny">
    <w:name w:val="Intense Quote"/>
    <w:aliases w:val="Pozytyw"/>
    <w:basedOn w:val="Normalny"/>
    <w:next w:val="Normalny"/>
    <w:link w:val="CytatintensywnyZnak"/>
    <w:qFormat/>
    <w:pPr>
      <w:pBdr>
        <w:top w:val="single" w:sz="8" w:space="10" w:color="006139" w:themeColor="accent6"/>
        <w:bottom w:val="single" w:sz="8" w:space="10" w:color="006139" w:themeColor="accent6"/>
      </w:pBdr>
      <w:shd w:val="clear" w:color="auto" w:fill="E1F5F5"/>
      <w:spacing w:before="360" w:after="360"/>
      <w:ind w:left="864" w:right="864"/>
      <w:jc w:val="center"/>
    </w:pPr>
    <w:rPr>
      <w:i/>
      <w:iCs/>
      <w:color w:val="006139" w:themeColor="accent6"/>
    </w:rPr>
  </w:style>
  <w:style w:type="paragraph" w:styleId="Cytat">
    <w:name w:val="Quote"/>
    <w:aliases w:val="Uwaga"/>
    <w:basedOn w:val="Normalny"/>
    <w:next w:val="Normalny"/>
    <w:link w:val="CytatZnak"/>
    <w:qFormat/>
    <w:pPr>
      <w:pBdr>
        <w:top w:val="single" w:sz="8" w:space="10" w:color="D90912" w:themeColor="accent4"/>
        <w:bottom w:val="single" w:sz="8" w:space="10" w:color="D90912" w:themeColor="accent4"/>
      </w:pBdr>
      <w:shd w:val="clear" w:color="auto" w:fill="FFF5F5"/>
      <w:spacing w:before="360" w:after="360"/>
      <w:ind w:left="862" w:right="862"/>
      <w:contextualSpacing/>
      <w:jc w:val="center"/>
    </w:pPr>
    <w:rPr>
      <w:i/>
      <w:iCs/>
      <w:color w:val="D90912" w:themeColor="accent4"/>
    </w:rPr>
  </w:style>
  <w:style w:type="paragraph" w:styleId="Nagwek">
    <w:name w:val="header"/>
    <w:basedOn w:val="Normalny"/>
    <w:link w:val="NagwekZnak"/>
    <w:pPr>
      <w:tabs>
        <w:tab w:val="center" w:pos="4536"/>
        <w:tab w:val="right" w:pos="9072"/>
      </w:tabs>
      <w:spacing w:after="0" w:line="240" w:lineRule="auto"/>
    </w:pPr>
  </w:style>
  <w:style w:type="paragraph" w:styleId="Stopka">
    <w:name w:val="footer"/>
    <w:basedOn w:val="Normalny"/>
    <w:link w:val="StopkaZnak"/>
    <w:pPr>
      <w:tabs>
        <w:tab w:val="center" w:pos="4536"/>
        <w:tab w:val="right" w:pos="9072"/>
      </w:tabs>
      <w:spacing w:before="240" w:after="0" w:line="240" w:lineRule="auto"/>
    </w:pPr>
    <w:rPr>
      <w:sz w:val="18"/>
    </w:rPr>
  </w:style>
  <w:style w:type="paragraph" w:styleId="Nagwekspisutreci">
    <w:name w:val="TOC Heading"/>
    <w:basedOn w:val="Nagwek1"/>
    <w:next w:val="Normalny"/>
    <w:qFormat/>
    <w:pPr>
      <w:spacing w:line="259" w:lineRule="auto"/>
      <w:outlineLvl w:val="9"/>
    </w:pPr>
    <w:rPr>
      <w:color w:val="234466" w:themeColor="accent1" w:themeShade="BF"/>
      <w:lang w:eastAsia="pl-PL"/>
    </w:rPr>
  </w:style>
  <w:style w:type="paragraph" w:styleId="Spistreci1">
    <w:name w:val="toc 1"/>
    <w:basedOn w:val="Normalny"/>
    <w:next w:val="Normalny"/>
    <w:pPr>
      <w:spacing w:before="240" w:after="0"/>
    </w:pPr>
    <w:rPr>
      <w:rFonts w:cstheme="majorHAnsi"/>
      <w:b/>
      <w:bCs/>
      <w:caps/>
      <w:sz w:val="24"/>
      <w:szCs w:val="24"/>
    </w:rPr>
  </w:style>
  <w:style w:type="paragraph" w:styleId="Spistreci2">
    <w:name w:val="toc 2"/>
    <w:basedOn w:val="Normalny"/>
    <w:next w:val="Normalny"/>
    <w:pPr>
      <w:spacing w:before="120" w:after="0"/>
    </w:pPr>
    <w:rPr>
      <w:rFonts w:cstheme="minorHAnsi"/>
      <w:b/>
      <w:bCs/>
    </w:rPr>
  </w:style>
  <w:style w:type="paragraph" w:styleId="Spistreci3">
    <w:name w:val="toc 3"/>
    <w:basedOn w:val="Normalny"/>
    <w:next w:val="Normalny"/>
    <w:pPr>
      <w:spacing w:after="0"/>
      <w:ind w:left="200"/>
    </w:pPr>
    <w:rPr>
      <w:rFonts w:cstheme="minorHAnsi"/>
    </w:rPr>
  </w:style>
  <w:style w:type="paragraph" w:styleId="Spistreci4">
    <w:name w:val="toc 4"/>
    <w:basedOn w:val="Normalny"/>
    <w:next w:val="Normalny"/>
    <w:pPr>
      <w:spacing w:after="0"/>
      <w:ind w:left="400"/>
    </w:pPr>
    <w:rPr>
      <w:rFonts w:cstheme="minorHAnsi"/>
    </w:rPr>
  </w:style>
  <w:style w:type="paragraph" w:styleId="Spistreci5">
    <w:name w:val="toc 5"/>
    <w:basedOn w:val="Normalny"/>
    <w:next w:val="Normalny"/>
    <w:pPr>
      <w:spacing w:after="0"/>
      <w:ind w:left="600"/>
    </w:pPr>
    <w:rPr>
      <w:rFonts w:cstheme="minorHAnsi"/>
    </w:rPr>
  </w:style>
  <w:style w:type="paragraph" w:styleId="Spistreci6">
    <w:name w:val="toc 6"/>
    <w:basedOn w:val="Normalny"/>
    <w:next w:val="Normalny"/>
    <w:pPr>
      <w:spacing w:after="0"/>
      <w:ind w:left="800"/>
    </w:pPr>
    <w:rPr>
      <w:rFonts w:cstheme="minorHAnsi"/>
    </w:rPr>
  </w:style>
  <w:style w:type="paragraph" w:styleId="Spistreci7">
    <w:name w:val="toc 7"/>
    <w:basedOn w:val="Normalny"/>
    <w:next w:val="Normalny"/>
    <w:pPr>
      <w:spacing w:after="0"/>
      <w:ind w:left="1000"/>
    </w:pPr>
    <w:rPr>
      <w:rFonts w:cstheme="minorHAnsi"/>
    </w:rPr>
  </w:style>
  <w:style w:type="paragraph" w:styleId="Spistreci8">
    <w:name w:val="toc 8"/>
    <w:basedOn w:val="Normalny"/>
    <w:next w:val="Normalny"/>
    <w:pPr>
      <w:spacing w:after="0"/>
      <w:ind w:left="1200"/>
    </w:pPr>
    <w:rPr>
      <w:rFonts w:cstheme="minorHAnsi"/>
    </w:rPr>
  </w:style>
  <w:style w:type="paragraph" w:styleId="Spistreci9">
    <w:name w:val="toc 9"/>
    <w:basedOn w:val="Normalny"/>
    <w:next w:val="Normalny"/>
    <w:pPr>
      <w:spacing w:after="0"/>
      <w:ind w:left="1400"/>
    </w:pPr>
    <w:rPr>
      <w:rFonts w:cstheme="minorHAnsi"/>
    </w:rPr>
  </w:style>
  <w:style w:type="paragraph" w:styleId="Tekstkomentarza">
    <w:name w:val="annotation text"/>
    <w:basedOn w:val="Normalny"/>
    <w:link w:val="TekstkomentarzaZnak"/>
    <w:pPr>
      <w:spacing w:line="240" w:lineRule="auto"/>
    </w:pPr>
  </w:style>
  <w:style w:type="paragraph" w:styleId="Tematkomentarza">
    <w:name w:val="annotation subject"/>
    <w:basedOn w:val="Tekstkomentarza"/>
    <w:next w:val="Tekstkomentarza"/>
    <w:link w:val="TematkomentarzaZnak"/>
    <w:semiHidden/>
    <w:rPr>
      <w:b/>
      <w:bCs/>
    </w:rPr>
  </w:style>
  <w:style w:type="paragraph" w:styleId="Legenda">
    <w:name w:val="caption"/>
    <w:basedOn w:val="Normalny"/>
    <w:next w:val="Normalny"/>
    <w:qFormat/>
    <w:pPr>
      <w:spacing w:after="200" w:line="240" w:lineRule="auto"/>
    </w:pPr>
    <w:rPr>
      <w:i/>
      <w:iCs/>
      <w:color w:val="3C3F49" w:themeColor="text2"/>
      <w:sz w:val="18"/>
      <w:szCs w:val="18"/>
    </w:rPr>
  </w:style>
  <w:style w:type="paragraph" w:styleId="Tekstprzypisukocowego">
    <w:name w:val="endnote text"/>
    <w:basedOn w:val="Normalny"/>
    <w:link w:val="TekstprzypisukocowegoZnak"/>
    <w:semiHidden/>
    <w:pPr>
      <w:spacing w:after="0" w:line="240" w:lineRule="auto"/>
    </w:pPr>
  </w:style>
  <w:style w:type="paragraph" w:customStyle="1" w:styleId="Styl1">
    <w:name w:val="Styl1"/>
    <w:basedOn w:val="Podtytu"/>
    <w:link w:val="Styl1Znak"/>
    <w:qFormat/>
  </w:style>
  <w:style w:type="paragraph" w:customStyle="1" w:styleId="Naglowek4">
    <w:name w:val="Naglowek 4"/>
    <w:basedOn w:val="Nagwek3"/>
    <w:next w:val="Nagwek4"/>
    <w:qFormat/>
    <w:pPr>
      <w:spacing w:before="120" w:after="120"/>
    </w:pPr>
  </w:style>
  <w:style w:type="paragraph" w:customStyle="1" w:styleId="Styl2">
    <w:name w:val="Styl2"/>
    <w:basedOn w:val="Nagwek3"/>
    <w:next w:val="Naglowek4"/>
    <w:qFormat/>
  </w:style>
  <w:style w:type="paragraph" w:customStyle="1" w:styleId="Styl3">
    <w:name w:val="Styl3"/>
    <w:basedOn w:val="Nagwek3"/>
    <w:qFormat/>
    <w:pPr>
      <w:numPr>
        <w:ilvl w:val="3"/>
      </w:numPr>
    </w:pPr>
  </w:style>
  <w:style w:type="paragraph" w:customStyle="1" w:styleId="Styl31">
    <w:name w:val="Styl31"/>
    <w:basedOn w:val="Nagwek3"/>
    <w:next w:val="Styl3"/>
    <w:qFormat/>
    <w:pPr>
      <w:numPr>
        <w:numId w:val="0"/>
      </w:numPr>
      <w:ind w:left="1080" w:hanging="1080"/>
    </w:pPr>
  </w:style>
  <w:style w:type="paragraph" w:customStyle="1" w:styleId="SmallTitle">
    <w:name w:val="SmallTitle"/>
    <w:basedOn w:val="Normalny"/>
    <w:link w:val="SmallTitleZnak"/>
    <w:qFormat/>
    <w:pPr>
      <w:spacing w:line="259" w:lineRule="auto"/>
      <w:jc w:val="center"/>
    </w:pPr>
    <w:rPr>
      <w:b/>
      <w:bCs/>
    </w:rPr>
  </w:style>
  <w:style w:type="paragraph" w:customStyle="1" w:styleId="SmallSubtitle">
    <w:name w:val="SmallSubtitle"/>
    <w:basedOn w:val="Normalny"/>
    <w:link w:val="SmallSubtitleZnak"/>
    <w:qFormat/>
    <w:pPr>
      <w:keepNext/>
      <w:spacing w:before="240"/>
    </w:pPr>
    <w:rPr>
      <w:b/>
      <w:caps/>
      <w:lang w:val="en-US"/>
    </w:rPr>
  </w:style>
  <w:style w:type="paragraph" w:styleId="Tekstprzypisudolnego">
    <w:name w:val="footnote text"/>
    <w:link w:val="TekstprzypisudolnegoZnak"/>
    <w:semiHidden/>
    <w:pPr>
      <w:spacing w:after="0" w:line="240" w:lineRule="auto"/>
    </w:pPr>
    <w:rPr>
      <w:szCs w:val="20"/>
    </w:rPr>
  </w:style>
  <w:style w:type="character" w:styleId="Numerwiersza">
    <w:name w:val="line number"/>
    <w:basedOn w:val="Domylnaczcionkaakapitu"/>
    <w:semiHidden/>
  </w:style>
  <w:style w:type="character" w:styleId="Hipercze">
    <w:name w:val="Hyperlink"/>
    <w:basedOn w:val="Domylnaczcionkaakapitu"/>
    <w:rPr>
      <w:color w:val="0563C1" w:themeColor="hyperlink"/>
      <w:u w:val="single"/>
    </w:rPr>
  </w:style>
  <w:style w:type="character" w:customStyle="1" w:styleId="Nagwek1Znak">
    <w:name w:val="Nagłówek 1 Znak"/>
    <w:basedOn w:val="Domylnaczcionkaakapitu"/>
    <w:link w:val="Nagwek1"/>
    <w:rPr>
      <w:rFonts w:asciiTheme="majorHAnsi" w:eastAsiaTheme="majorEastAsia" w:hAnsiTheme="majorHAnsi" w:cstheme="majorBidi"/>
      <w:b/>
      <w:color w:val="2F5C89" w:themeColor="accent1"/>
      <w:sz w:val="24"/>
      <w:szCs w:val="24"/>
    </w:rPr>
  </w:style>
  <w:style w:type="character" w:customStyle="1" w:styleId="Nagwek2Znak">
    <w:name w:val="Nagłówek 2 Znak"/>
    <w:basedOn w:val="Domylnaczcionkaakapitu"/>
    <w:link w:val="Nagwek2"/>
    <w:rPr>
      <w:rFonts w:asciiTheme="majorHAnsi" w:eastAsiaTheme="majorEastAsia" w:hAnsiTheme="majorHAnsi" w:cstheme="majorBidi"/>
      <w:b/>
      <w:smallCaps/>
      <w:color w:val="234466" w:themeColor="accent1" w:themeShade="BF"/>
    </w:rPr>
  </w:style>
  <w:style w:type="character" w:customStyle="1" w:styleId="TytuZnak">
    <w:name w:val="Tytuł Znak"/>
    <w:basedOn w:val="Domylnaczcionkaakapitu"/>
    <w:link w:val="Tytu"/>
    <w:rPr>
      <w:rFonts w:ascii="Times New Roman" w:eastAsiaTheme="majorEastAsia" w:hAnsi="Times New Roman" w:cstheme="majorBidi"/>
      <w:b/>
      <w:color w:val="3C3F49" w:themeColor="text2"/>
      <w:spacing w:val="5"/>
      <w:kern w:val="28"/>
      <w:sz w:val="72"/>
      <w:szCs w:val="48"/>
    </w:rPr>
  </w:style>
  <w:style w:type="character" w:customStyle="1" w:styleId="PodtytuZnak">
    <w:name w:val="Podtytuł Znak"/>
    <w:basedOn w:val="Domylnaczcionkaakapitu"/>
    <w:link w:val="Podtytu"/>
    <w:rPr>
      <w:rFonts w:eastAsiaTheme="minorEastAsia"/>
      <w:color w:val="auto"/>
      <w:szCs w:val="14"/>
    </w:rPr>
  </w:style>
  <w:style w:type="character" w:customStyle="1" w:styleId="Nagwek3Znak">
    <w:name w:val="Nagłówek 3 Znak"/>
    <w:basedOn w:val="Domylnaczcionkaakapitu"/>
    <w:link w:val="Nagwek3"/>
    <w:rPr>
      <w:rFonts w:asciiTheme="majorHAnsi" w:eastAsiaTheme="majorEastAsia" w:hAnsiTheme="majorHAnsi" w:cstheme="majorBidi"/>
      <w:b/>
      <w:smallCaps/>
      <w:color w:val="3C3F49"/>
      <w:sz w:val="20"/>
      <w:szCs w:val="24"/>
    </w:rPr>
  </w:style>
  <w:style w:type="character" w:styleId="Wyrnieniedelikatne">
    <w:name w:val="Subtle Emphasis"/>
    <w:aliases w:val="Źródło"/>
    <w:basedOn w:val="Domylnaczcionkaakapitu"/>
    <w:rPr>
      <w:i/>
      <w:iCs/>
      <w:color w:val="404040" w:themeColor="text1" w:themeTint="BF"/>
    </w:rPr>
  </w:style>
  <w:style w:type="character" w:customStyle="1" w:styleId="TekstdymkaZnak">
    <w:name w:val="Tekst dymka Znak"/>
    <w:basedOn w:val="Domylnaczcionkaakapitu"/>
    <w:link w:val="Tekstdymka"/>
    <w:semiHidden/>
    <w:rPr>
      <w:rFonts w:ascii="Segoe UI" w:hAnsi="Segoe UI" w:cs="Segoe UI"/>
      <w:color w:val="121313" w:themeColor="background2" w:themeShade="19"/>
      <w:sz w:val="18"/>
      <w:szCs w:val="18"/>
    </w:rPr>
  </w:style>
  <w:style w:type="character" w:customStyle="1" w:styleId="CytatintensywnyZnak">
    <w:name w:val="Cytat intensywny Znak"/>
    <w:aliases w:val="Pozytyw Znak"/>
    <w:basedOn w:val="Domylnaczcionkaakapitu"/>
    <w:link w:val="Cytatintensywny"/>
    <w:rPr>
      <w:i/>
      <w:iCs/>
      <w:color w:val="006139" w:themeColor="accent6"/>
      <w:sz w:val="20"/>
      <w:shd w:val="clear" w:color="auto" w:fill="E1F5F5"/>
    </w:rPr>
  </w:style>
  <w:style w:type="character" w:customStyle="1" w:styleId="CytatZnak">
    <w:name w:val="Cytat Znak"/>
    <w:aliases w:val="Uwaga Znak"/>
    <w:basedOn w:val="Domylnaczcionkaakapitu"/>
    <w:link w:val="Cytat"/>
    <w:rPr>
      <w:i/>
      <w:iCs/>
      <w:color w:val="D90912" w:themeColor="accent4"/>
      <w:sz w:val="20"/>
      <w:shd w:val="clear" w:color="auto" w:fill="FFF5F5"/>
    </w:rPr>
  </w:style>
  <w:style w:type="character" w:customStyle="1" w:styleId="NagwekZnak">
    <w:name w:val="Nagłówek Znak"/>
    <w:basedOn w:val="Domylnaczcionkaakapitu"/>
    <w:link w:val="Nagwek"/>
    <w:rPr>
      <w:color w:val="121313" w:themeColor="background2" w:themeShade="19"/>
      <w:sz w:val="20"/>
    </w:rPr>
  </w:style>
  <w:style w:type="character" w:customStyle="1" w:styleId="StopkaZnak">
    <w:name w:val="Stopka Znak"/>
    <w:basedOn w:val="Domylnaczcionkaakapitu"/>
    <w:link w:val="Stopka"/>
    <w:rPr>
      <w:rFonts w:ascii="Times New Roman" w:hAnsi="Times New Roman"/>
      <w:sz w:val="18"/>
    </w:rPr>
  </w:style>
  <w:style w:type="character" w:styleId="Odwoaniedokomentarza">
    <w:name w:val="annotation reference"/>
    <w:basedOn w:val="Domylnaczcionkaakapitu"/>
    <w:semiHidden/>
    <w:rPr>
      <w:sz w:val="16"/>
      <w:szCs w:val="16"/>
    </w:rPr>
  </w:style>
  <w:style w:type="character" w:customStyle="1" w:styleId="TekstkomentarzaZnak">
    <w:name w:val="Tekst komentarza Znak"/>
    <w:basedOn w:val="Domylnaczcionkaakapitu"/>
    <w:link w:val="Tekstkomentarza"/>
  </w:style>
  <w:style w:type="character" w:customStyle="1" w:styleId="TematkomentarzaZnak">
    <w:name w:val="Temat komentarza Znak"/>
    <w:basedOn w:val="TekstkomentarzaZnak"/>
    <w:link w:val="Tematkomentarza"/>
    <w:semiHidden/>
    <w:rPr>
      <w:b/>
      <w:bCs/>
    </w:rPr>
  </w:style>
  <w:style w:type="character" w:customStyle="1" w:styleId="TekstprzypisukocowegoZnak">
    <w:name w:val="Tekst przypisu końcowego Znak"/>
    <w:basedOn w:val="Domylnaczcionkaakapitu"/>
    <w:link w:val="Tekstprzypisukocowego"/>
    <w:semiHidden/>
  </w:style>
  <w:style w:type="character" w:styleId="Odwoanieprzypisukocowego">
    <w:name w:val="endnote reference"/>
    <w:basedOn w:val="Domylnaczcionkaakapitu"/>
    <w:semiHidden/>
    <w:rPr>
      <w:vertAlign w:val="superscript"/>
    </w:rPr>
  </w:style>
  <w:style w:type="character" w:customStyle="1" w:styleId="Styl1Znak">
    <w:name w:val="Styl1 Znak"/>
    <w:basedOn w:val="PodtytuZnak"/>
    <w:link w:val="Styl1"/>
    <w:rPr>
      <w:rFonts w:eastAsiaTheme="minorEastAsia"/>
      <w:color w:val="auto"/>
      <w:szCs w:val="14"/>
    </w:rPr>
  </w:style>
  <w:style w:type="character" w:customStyle="1" w:styleId="Nagwek4Znak">
    <w:name w:val="Nagłówek 4 Znak"/>
    <w:basedOn w:val="Domylnaczcionkaakapitu"/>
    <w:link w:val="Nagwek4"/>
    <w:semiHidden/>
    <w:rPr>
      <w:rFonts w:asciiTheme="majorHAnsi" w:eastAsiaTheme="majorEastAsia" w:hAnsiTheme="majorHAnsi" w:cstheme="majorBidi"/>
      <w:b/>
      <w:iCs/>
      <w:smallCaps/>
      <w:color w:val="234466" w:themeColor="accent1" w:themeShade="BF"/>
    </w:rPr>
  </w:style>
  <w:style w:type="character" w:customStyle="1" w:styleId="SmallTitleZnak">
    <w:name w:val="SmallTitle Znak"/>
    <w:basedOn w:val="Domylnaczcionkaakapitu"/>
    <w:link w:val="SmallTitle"/>
    <w:rPr>
      <w:rFonts w:ascii="Times New Roman" w:hAnsi="Times New Roman"/>
      <w:b/>
      <w:bCs/>
    </w:rPr>
  </w:style>
  <w:style w:type="character" w:customStyle="1" w:styleId="SmallSubtitleZnak">
    <w:name w:val="SmallSubtitle Znak"/>
    <w:basedOn w:val="Domylnaczcionkaakapitu"/>
    <w:link w:val="SmallSubtitle"/>
    <w:rPr>
      <w:rFonts w:ascii="Times New Roman" w:hAnsi="Times New Roman"/>
      <w:b/>
      <w:caps/>
      <w:lang w:val="en-US"/>
    </w:rPr>
  </w:style>
  <w:style w:type="character" w:styleId="Odwoanieprzypisudolnego">
    <w:name w:val="footnote reference"/>
    <w:semiHidden/>
    <w:rPr>
      <w:vertAlign w:val="superscript"/>
    </w:rPr>
  </w:style>
  <w:style w:type="character" w:customStyle="1" w:styleId="TekstprzypisudolnegoZnak">
    <w:name w:val="Tekst przypisu dolnego Znak"/>
    <w:link w:val="Tekstprzypisudolnego"/>
    <w:semiHidden/>
    <w:rPr>
      <w:sz w:val="20"/>
      <w:szCs w:val="20"/>
    </w:rPr>
  </w:style>
  <w:style w:type="character" w:customStyle="1" w:styleId="EndnoteTextChar">
    <w:name w:val="Endnote Text Char"/>
    <w:semiHidden/>
    <w:rPr>
      <w:sz w:val="20"/>
      <w:szCs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urulis">
    <w:name w:val="Tabela Curulis"/>
    <w:basedOn w:val="Standardowy"/>
    <w:pPr>
      <w:spacing w:after="0" w:line="276" w:lineRule="auto"/>
      <w:jc w:val="right"/>
    </w:pPr>
    <w:rPr>
      <w:rFonts w:ascii="Arial" w:hAnsi="Arial"/>
      <w:sz w:val="18"/>
    </w:rPr>
    <w:tblPr>
      <w:tblBorders>
        <w:bottom w:val="single" w:sz="8" w:space="0" w:color="C2C4C6" w:themeColor="background2"/>
        <w:insideH w:val="single" w:sz="8" w:space="0" w:color="C2C4C6" w:themeColor="background2"/>
        <w:insideV w:val="single" w:sz="8" w:space="0" w:color="FFFFFF" w:themeColor="background1"/>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table" w:customStyle="1" w:styleId="TabelaCurulisLiczby">
    <w:name w:val="Tabela Curulis Liczby"/>
    <w:basedOn w:val="TabelaCurulis"/>
    <w:pPr>
      <w:spacing w:line="240" w:lineRule="auto"/>
    </w:pPr>
    <w:tblPr>
      <w:tblBorders>
        <w:top w:val="single" w:sz="4" w:space="0" w:color="8F9296" w:themeColor="background2" w:themeShade="BF"/>
        <w:left w:val="single" w:sz="4" w:space="0" w:color="8F9296" w:themeColor="background2" w:themeShade="BF"/>
        <w:bottom w:val="single" w:sz="4" w:space="0" w:color="8F9296" w:themeColor="background2" w:themeShade="BF"/>
        <w:right w:val="single" w:sz="4" w:space="0" w:color="8F9296" w:themeColor="background2" w:themeShade="BF"/>
        <w:insideH w:val="single" w:sz="4" w:space="0" w:color="8F9296" w:themeColor="background2" w:themeShade="BF"/>
        <w:insideV w:val="single" w:sz="4" w:space="0" w:color="8F9296" w:themeColor="background2" w:themeShade="BF"/>
      </w:tblBorders>
    </w:tbl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D0D0D" w:themeColor="text1" w:themeTint="F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rFonts w:ascii="Times New Roman" w:hAnsi="Times New Roman"/>
    </w:rPr>
  </w:style>
  <w:style w:type="paragraph" w:styleId="Nagwek1">
    <w:name w:val="heading 1"/>
    <w:basedOn w:val="Normalny"/>
    <w:next w:val="Normalny"/>
    <w:link w:val="Nagwek1Znak"/>
    <w:qFormat/>
    <w:pPr>
      <w:keepNext/>
      <w:keepLines/>
      <w:numPr>
        <w:numId w:val="17"/>
      </w:numPr>
      <w:spacing w:before="840" w:after="840"/>
      <w:contextualSpacing/>
      <w:outlineLvl w:val="0"/>
    </w:pPr>
    <w:rPr>
      <w:rFonts w:asciiTheme="majorHAnsi" w:eastAsiaTheme="majorEastAsia" w:hAnsiTheme="majorHAnsi" w:cstheme="majorBidi"/>
      <w:b/>
      <w:color w:val="2F5C89" w:themeColor="accent1"/>
      <w:sz w:val="24"/>
      <w:szCs w:val="24"/>
    </w:rPr>
  </w:style>
  <w:style w:type="paragraph" w:styleId="Nagwek2">
    <w:name w:val="heading 2"/>
    <w:basedOn w:val="Normalny"/>
    <w:next w:val="Normalny"/>
    <w:link w:val="Nagwek2Znak"/>
    <w:qFormat/>
    <w:pPr>
      <w:keepNext/>
      <w:keepLines/>
      <w:numPr>
        <w:ilvl w:val="1"/>
        <w:numId w:val="17"/>
      </w:numPr>
      <w:spacing w:before="480"/>
      <w:contextualSpacing/>
      <w:outlineLvl w:val="1"/>
    </w:pPr>
    <w:rPr>
      <w:rFonts w:asciiTheme="majorHAnsi" w:eastAsiaTheme="majorEastAsia" w:hAnsiTheme="majorHAnsi" w:cstheme="majorBidi"/>
      <w:b/>
      <w:smallCaps/>
      <w:color w:val="234466" w:themeColor="accent1" w:themeShade="BF"/>
    </w:rPr>
  </w:style>
  <w:style w:type="paragraph" w:styleId="Nagwek3">
    <w:name w:val="heading 3"/>
    <w:basedOn w:val="Normalny"/>
    <w:next w:val="Normalny"/>
    <w:link w:val="Nagwek3Znak"/>
    <w:qFormat/>
    <w:pPr>
      <w:keepNext/>
      <w:keepLines/>
      <w:numPr>
        <w:ilvl w:val="2"/>
        <w:numId w:val="17"/>
      </w:numPr>
      <w:spacing w:before="480" w:after="40" w:line="360" w:lineRule="auto"/>
      <w:contextualSpacing/>
      <w:outlineLvl w:val="2"/>
    </w:pPr>
    <w:rPr>
      <w:rFonts w:asciiTheme="majorHAnsi" w:eastAsiaTheme="majorEastAsia" w:hAnsiTheme="majorHAnsi" w:cstheme="majorBidi"/>
      <w:b/>
      <w:smallCaps/>
      <w:color w:val="3C3F49"/>
      <w:szCs w:val="24"/>
    </w:rPr>
  </w:style>
  <w:style w:type="paragraph" w:styleId="Nagwek4">
    <w:name w:val="heading 4"/>
    <w:basedOn w:val="Normalny"/>
    <w:next w:val="Normalny"/>
    <w:link w:val="Nagwek4Znak"/>
    <w:semiHidden/>
    <w:qFormat/>
    <w:pPr>
      <w:keepNext/>
      <w:keepLines/>
      <w:spacing w:before="240" w:after="40"/>
      <w:outlineLvl w:val="3"/>
    </w:pPr>
    <w:rPr>
      <w:rFonts w:asciiTheme="majorHAnsi" w:eastAsiaTheme="majorEastAsia" w:hAnsiTheme="majorHAnsi" w:cstheme="majorBidi"/>
      <w:b/>
      <w:iCs/>
      <w:smallCaps/>
      <w:color w:val="234466" w:themeColor="accent1" w:themeShade="BF"/>
    </w:rPr>
  </w:style>
  <w:style w:type="paragraph" w:styleId="Nagwek5">
    <w:name w:val="heading 5"/>
    <w:next w:val="Normalny"/>
    <w:pPr>
      <w:keepNext/>
      <w:spacing w:before="240" w:after="12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pPr>
      <w:spacing w:before="840" w:after="300" w:line="240" w:lineRule="auto"/>
      <w:contextualSpacing/>
      <w:jc w:val="center"/>
    </w:pPr>
    <w:rPr>
      <w:rFonts w:eastAsiaTheme="majorEastAsia" w:cstheme="majorBidi"/>
      <w:b/>
      <w:color w:val="3C3F49" w:themeColor="text2"/>
      <w:spacing w:val="5"/>
      <w:kern w:val="28"/>
      <w:sz w:val="72"/>
      <w:szCs w:val="48"/>
    </w:rPr>
  </w:style>
  <w:style w:type="paragraph" w:styleId="Podtytu">
    <w:name w:val="Subtitle"/>
    <w:basedOn w:val="Normalny"/>
    <w:next w:val="Normalny"/>
    <w:link w:val="PodtytuZnak"/>
    <w:qFormat/>
    <w:rPr>
      <w:rFonts w:eastAsiaTheme="minorEastAsia"/>
      <w:color w:val="auto"/>
      <w:szCs w:val="14"/>
    </w:rPr>
  </w:style>
  <w:style w:type="paragraph" w:styleId="Akapitzlist">
    <w:name w:val="List Paragraph"/>
    <w:basedOn w:val="Normalny"/>
    <w:qFormat/>
    <w:pPr>
      <w:ind w:left="720"/>
      <w:contextualSpacing/>
    </w:pPr>
  </w:style>
  <w:style w:type="paragraph" w:styleId="Tekstdymka">
    <w:name w:val="Balloon Text"/>
    <w:basedOn w:val="Normalny"/>
    <w:link w:val="TekstdymkaZnak"/>
    <w:semiHidden/>
    <w:pPr>
      <w:spacing w:after="0" w:line="240" w:lineRule="auto"/>
    </w:pPr>
    <w:rPr>
      <w:rFonts w:ascii="Segoe UI" w:hAnsi="Segoe UI" w:cs="Segoe UI"/>
      <w:sz w:val="18"/>
      <w:szCs w:val="18"/>
    </w:rPr>
  </w:style>
  <w:style w:type="paragraph" w:styleId="Cytatintensywny">
    <w:name w:val="Intense Quote"/>
    <w:aliases w:val="Pozytyw"/>
    <w:basedOn w:val="Normalny"/>
    <w:next w:val="Normalny"/>
    <w:link w:val="CytatintensywnyZnak"/>
    <w:qFormat/>
    <w:pPr>
      <w:pBdr>
        <w:top w:val="single" w:sz="8" w:space="10" w:color="006139" w:themeColor="accent6"/>
        <w:bottom w:val="single" w:sz="8" w:space="10" w:color="006139" w:themeColor="accent6"/>
      </w:pBdr>
      <w:shd w:val="clear" w:color="auto" w:fill="E1F5F5"/>
      <w:spacing w:before="360" w:after="360"/>
      <w:ind w:left="864" w:right="864"/>
      <w:jc w:val="center"/>
    </w:pPr>
    <w:rPr>
      <w:i/>
      <w:iCs/>
      <w:color w:val="006139" w:themeColor="accent6"/>
    </w:rPr>
  </w:style>
  <w:style w:type="paragraph" w:styleId="Cytat">
    <w:name w:val="Quote"/>
    <w:aliases w:val="Uwaga"/>
    <w:basedOn w:val="Normalny"/>
    <w:next w:val="Normalny"/>
    <w:link w:val="CytatZnak"/>
    <w:qFormat/>
    <w:pPr>
      <w:pBdr>
        <w:top w:val="single" w:sz="8" w:space="10" w:color="D90912" w:themeColor="accent4"/>
        <w:bottom w:val="single" w:sz="8" w:space="10" w:color="D90912" w:themeColor="accent4"/>
      </w:pBdr>
      <w:shd w:val="clear" w:color="auto" w:fill="FFF5F5"/>
      <w:spacing w:before="360" w:after="360"/>
      <w:ind w:left="862" w:right="862"/>
      <w:contextualSpacing/>
      <w:jc w:val="center"/>
    </w:pPr>
    <w:rPr>
      <w:i/>
      <w:iCs/>
      <w:color w:val="D90912" w:themeColor="accent4"/>
    </w:rPr>
  </w:style>
  <w:style w:type="paragraph" w:styleId="Nagwek">
    <w:name w:val="header"/>
    <w:basedOn w:val="Normalny"/>
    <w:link w:val="NagwekZnak"/>
    <w:pPr>
      <w:tabs>
        <w:tab w:val="center" w:pos="4536"/>
        <w:tab w:val="right" w:pos="9072"/>
      </w:tabs>
      <w:spacing w:after="0" w:line="240" w:lineRule="auto"/>
    </w:pPr>
  </w:style>
  <w:style w:type="paragraph" w:styleId="Stopka">
    <w:name w:val="footer"/>
    <w:basedOn w:val="Normalny"/>
    <w:link w:val="StopkaZnak"/>
    <w:pPr>
      <w:tabs>
        <w:tab w:val="center" w:pos="4536"/>
        <w:tab w:val="right" w:pos="9072"/>
      </w:tabs>
      <w:spacing w:before="240" w:after="0" w:line="240" w:lineRule="auto"/>
    </w:pPr>
    <w:rPr>
      <w:sz w:val="18"/>
    </w:rPr>
  </w:style>
  <w:style w:type="paragraph" w:styleId="Nagwekspisutreci">
    <w:name w:val="TOC Heading"/>
    <w:basedOn w:val="Nagwek1"/>
    <w:next w:val="Normalny"/>
    <w:qFormat/>
    <w:pPr>
      <w:spacing w:line="259" w:lineRule="auto"/>
      <w:outlineLvl w:val="9"/>
    </w:pPr>
    <w:rPr>
      <w:color w:val="234466" w:themeColor="accent1" w:themeShade="BF"/>
      <w:lang w:eastAsia="pl-PL"/>
    </w:rPr>
  </w:style>
  <w:style w:type="paragraph" w:styleId="Spistreci1">
    <w:name w:val="toc 1"/>
    <w:basedOn w:val="Normalny"/>
    <w:next w:val="Normalny"/>
    <w:pPr>
      <w:spacing w:before="240" w:after="0"/>
    </w:pPr>
    <w:rPr>
      <w:rFonts w:cstheme="majorHAnsi"/>
      <w:b/>
      <w:bCs/>
      <w:caps/>
      <w:sz w:val="24"/>
      <w:szCs w:val="24"/>
    </w:rPr>
  </w:style>
  <w:style w:type="paragraph" w:styleId="Spistreci2">
    <w:name w:val="toc 2"/>
    <w:basedOn w:val="Normalny"/>
    <w:next w:val="Normalny"/>
    <w:pPr>
      <w:spacing w:before="120" w:after="0"/>
    </w:pPr>
    <w:rPr>
      <w:rFonts w:cstheme="minorHAnsi"/>
      <w:b/>
      <w:bCs/>
    </w:rPr>
  </w:style>
  <w:style w:type="paragraph" w:styleId="Spistreci3">
    <w:name w:val="toc 3"/>
    <w:basedOn w:val="Normalny"/>
    <w:next w:val="Normalny"/>
    <w:pPr>
      <w:spacing w:after="0"/>
      <w:ind w:left="200"/>
    </w:pPr>
    <w:rPr>
      <w:rFonts w:cstheme="minorHAnsi"/>
    </w:rPr>
  </w:style>
  <w:style w:type="paragraph" w:styleId="Spistreci4">
    <w:name w:val="toc 4"/>
    <w:basedOn w:val="Normalny"/>
    <w:next w:val="Normalny"/>
    <w:pPr>
      <w:spacing w:after="0"/>
      <w:ind w:left="400"/>
    </w:pPr>
    <w:rPr>
      <w:rFonts w:cstheme="minorHAnsi"/>
    </w:rPr>
  </w:style>
  <w:style w:type="paragraph" w:styleId="Spistreci5">
    <w:name w:val="toc 5"/>
    <w:basedOn w:val="Normalny"/>
    <w:next w:val="Normalny"/>
    <w:pPr>
      <w:spacing w:after="0"/>
      <w:ind w:left="600"/>
    </w:pPr>
    <w:rPr>
      <w:rFonts w:cstheme="minorHAnsi"/>
    </w:rPr>
  </w:style>
  <w:style w:type="paragraph" w:styleId="Spistreci6">
    <w:name w:val="toc 6"/>
    <w:basedOn w:val="Normalny"/>
    <w:next w:val="Normalny"/>
    <w:pPr>
      <w:spacing w:after="0"/>
      <w:ind w:left="800"/>
    </w:pPr>
    <w:rPr>
      <w:rFonts w:cstheme="minorHAnsi"/>
    </w:rPr>
  </w:style>
  <w:style w:type="paragraph" w:styleId="Spistreci7">
    <w:name w:val="toc 7"/>
    <w:basedOn w:val="Normalny"/>
    <w:next w:val="Normalny"/>
    <w:pPr>
      <w:spacing w:after="0"/>
      <w:ind w:left="1000"/>
    </w:pPr>
    <w:rPr>
      <w:rFonts w:cstheme="minorHAnsi"/>
    </w:rPr>
  </w:style>
  <w:style w:type="paragraph" w:styleId="Spistreci8">
    <w:name w:val="toc 8"/>
    <w:basedOn w:val="Normalny"/>
    <w:next w:val="Normalny"/>
    <w:pPr>
      <w:spacing w:after="0"/>
      <w:ind w:left="1200"/>
    </w:pPr>
    <w:rPr>
      <w:rFonts w:cstheme="minorHAnsi"/>
    </w:rPr>
  </w:style>
  <w:style w:type="paragraph" w:styleId="Spistreci9">
    <w:name w:val="toc 9"/>
    <w:basedOn w:val="Normalny"/>
    <w:next w:val="Normalny"/>
    <w:pPr>
      <w:spacing w:after="0"/>
      <w:ind w:left="1400"/>
    </w:pPr>
    <w:rPr>
      <w:rFonts w:cstheme="minorHAnsi"/>
    </w:rPr>
  </w:style>
  <w:style w:type="paragraph" w:styleId="Tekstkomentarza">
    <w:name w:val="annotation text"/>
    <w:basedOn w:val="Normalny"/>
    <w:link w:val="TekstkomentarzaZnak"/>
    <w:pPr>
      <w:spacing w:line="240" w:lineRule="auto"/>
    </w:pPr>
  </w:style>
  <w:style w:type="paragraph" w:styleId="Tematkomentarza">
    <w:name w:val="annotation subject"/>
    <w:basedOn w:val="Tekstkomentarza"/>
    <w:next w:val="Tekstkomentarza"/>
    <w:link w:val="TematkomentarzaZnak"/>
    <w:semiHidden/>
    <w:rPr>
      <w:b/>
      <w:bCs/>
    </w:rPr>
  </w:style>
  <w:style w:type="paragraph" w:styleId="Legenda">
    <w:name w:val="caption"/>
    <w:basedOn w:val="Normalny"/>
    <w:next w:val="Normalny"/>
    <w:qFormat/>
    <w:pPr>
      <w:spacing w:after="200" w:line="240" w:lineRule="auto"/>
    </w:pPr>
    <w:rPr>
      <w:i/>
      <w:iCs/>
      <w:color w:val="3C3F49" w:themeColor="text2"/>
      <w:sz w:val="18"/>
      <w:szCs w:val="18"/>
    </w:rPr>
  </w:style>
  <w:style w:type="paragraph" w:styleId="Tekstprzypisukocowego">
    <w:name w:val="endnote text"/>
    <w:basedOn w:val="Normalny"/>
    <w:link w:val="TekstprzypisukocowegoZnak"/>
    <w:semiHidden/>
    <w:pPr>
      <w:spacing w:after="0" w:line="240" w:lineRule="auto"/>
    </w:pPr>
  </w:style>
  <w:style w:type="paragraph" w:customStyle="1" w:styleId="Styl1">
    <w:name w:val="Styl1"/>
    <w:basedOn w:val="Podtytu"/>
    <w:link w:val="Styl1Znak"/>
    <w:qFormat/>
  </w:style>
  <w:style w:type="paragraph" w:customStyle="1" w:styleId="Naglowek4">
    <w:name w:val="Naglowek 4"/>
    <w:basedOn w:val="Nagwek3"/>
    <w:next w:val="Nagwek4"/>
    <w:qFormat/>
    <w:pPr>
      <w:spacing w:before="120" w:after="120"/>
    </w:pPr>
  </w:style>
  <w:style w:type="paragraph" w:customStyle="1" w:styleId="Styl2">
    <w:name w:val="Styl2"/>
    <w:basedOn w:val="Nagwek3"/>
    <w:next w:val="Naglowek4"/>
    <w:qFormat/>
  </w:style>
  <w:style w:type="paragraph" w:customStyle="1" w:styleId="Styl3">
    <w:name w:val="Styl3"/>
    <w:basedOn w:val="Nagwek3"/>
    <w:qFormat/>
    <w:pPr>
      <w:numPr>
        <w:ilvl w:val="3"/>
      </w:numPr>
    </w:pPr>
  </w:style>
  <w:style w:type="paragraph" w:customStyle="1" w:styleId="Styl31">
    <w:name w:val="Styl31"/>
    <w:basedOn w:val="Nagwek3"/>
    <w:next w:val="Styl3"/>
    <w:qFormat/>
    <w:pPr>
      <w:numPr>
        <w:numId w:val="0"/>
      </w:numPr>
      <w:ind w:left="1080" w:hanging="1080"/>
    </w:pPr>
  </w:style>
  <w:style w:type="paragraph" w:customStyle="1" w:styleId="SmallTitle">
    <w:name w:val="SmallTitle"/>
    <w:basedOn w:val="Normalny"/>
    <w:link w:val="SmallTitleZnak"/>
    <w:qFormat/>
    <w:pPr>
      <w:spacing w:line="259" w:lineRule="auto"/>
      <w:jc w:val="center"/>
    </w:pPr>
    <w:rPr>
      <w:b/>
      <w:bCs/>
    </w:rPr>
  </w:style>
  <w:style w:type="paragraph" w:customStyle="1" w:styleId="SmallSubtitle">
    <w:name w:val="SmallSubtitle"/>
    <w:basedOn w:val="Normalny"/>
    <w:link w:val="SmallSubtitleZnak"/>
    <w:qFormat/>
    <w:pPr>
      <w:keepNext/>
      <w:spacing w:before="240"/>
    </w:pPr>
    <w:rPr>
      <w:b/>
      <w:caps/>
      <w:lang w:val="en-US"/>
    </w:rPr>
  </w:style>
  <w:style w:type="paragraph" w:styleId="Tekstprzypisudolnego">
    <w:name w:val="footnote text"/>
    <w:link w:val="TekstprzypisudolnegoZnak"/>
    <w:semiHidden/>
    <w:pPr>
      <w:spacing w:after="0" w:line="240" w:lineRule="auto"/>
    </w:pPr>
    <w:rPr>
      <w:szCs w:val="20"/>
    </w:rPr>
  </w:style>
  <w:style w:type="character" w:styleId="Numerwiersza">
    <w:name w:val="line number"/>
    <w:basedOn w:val="Domylnaczcionkaakapitu"/>
    <w:semiHidden/>
  </w:style>
  <w:style w:type="character" w:styleId="Hipercze">
    <w:name w:val="Hyperlink"/>
    <w:basedOn w:val="Domylnaczcionkaakapitu"/>
    <w:rPr>
      <w:color w:val="0563C1" w:themeColor="hyperlink"/>
      <w:u w:val="single"/>
    </w:rPr>
  </w:style>
  <w:style w:type="character" w:customStyle="1" w:styleId="Nagwek1Znak">
    <w:name w:val="Nagłówek 1 Znak"/>
    <w:basedOn w:val="Domylnaczcionkaakapitu"/>
    <w:link w:val="Nagwek1"/>
    <w:rPr>
      <w:rFonts w:asciiTheme="majorHAnsi" w:eastAsiaTheme="majorEastAsia" w:hAnsiTheme="majorHAnsi" w:cstheme="majorBidi"/>
      <w:b/>
      <w:color w:val="2F5C89" w:themeColor="accent1"/>
      <w:sz w:val="24"/>
      <w:szCs w:val="24"/>
    </w:rPr>
  </w:style>
  <w:style w:type="character" w:customStyle="1" w:styleId="Nagwek2Znak">
    <w:name w:val="Nagłówek 2 Znak"/>
    <w:basedOn w:val="Domylnaczcionkaakapitu"/>
    <w:link w:val="Nagwek2"/>
    <w:rPr>
      <w:rFonts w:asciiTheme="majorHAnsi" w:eastAsiaTheme="majorEastAsia" w:hAnsiTheme="majorHAnsi" w:cstheme="majorBidi"/>
      <w:b/>
      <w:smallCaps/>
      <w:color w:val="234466" w:themeColor="accent1" w:themeShade="BF"/>
    </w:rPr>
  </w:style>
  <w:style w:type="character" w:customStyle="1" w:styleId="TytuZnak">
    <w:name w:val="Tytuł Znak"/>
    <w:basedOn w:val="Domylnaczcionkaakapitu"/>
    <w:link w:val="Tytu"/>
    <w:rPr>
      <w:rFonts w:ascii="Times New Roman" w:eastAsiaTheme="majorEastAsia" w:hAnsi="Times New Roman" w:cstheme="majorBidi"/>
      <w:b/>
      <w:color w:val="3C3F49" w:themeColor="text2"/>
      <w:spacing w:val="5"/>
      <w:kern w:val="28"/>
      <w:sz w:val="72"/>
      <w:szCs w:val="48"/>
    </w:rPr>
  </w:style>
  <w:style w:type="character" w:customStyle="1" w:styleId="PodtytuZnak">
    <w:name w:val="Podtytuł Znak"/>
    <w:basedOn w:val="Domylnaczcionkaakapitu"/>
    <w:link w:val="Podtytu"/>
    <w:rPr>
      <w:rFonts w:eastAsiaTheme="minorEastAsia"/>
      <w:color w:val="auto"/>
      <w:szCs w:val="14"/>
    </w:rPr>
  </w:style>
  <w:style w:type="character" w:customStyle="1" w:styleId="Nagwek3Znak">
    <w:name w:val="Nagłówek 3 Znak"/>
    <w:basedOn w:val="Domylnaczcionkaakapitu"/>
    <w:link w:val="Nagwek3"/>
    <w:rPr>
      <w:rFonts w:asciiTheme="majorHAnsi" w:eastAsiaTheme="majorEastAsia" w:hAnsiTheme="majorHAnsi" w:cstheme="majorBidi"/>
      <w:b/>
      <w:smallCaps/>
      <w:color w:val="3C3F49"/>
      <w:sz w:val="20"/>
      <w:szCs w:val="24"/>
    </w:rPr>
  </w:style>
  <w:style w:type="character" w:styleId="Wyrnieniedelikatne">
    <w:name w:val="Subtle Emphasis"/>
    <w:aliases w:val="Źródło"/>
    <w:basedOn w:val="Domylnaczcionkaakapitu"/>
    <w:rPr>
      <w:i/>
      <w:iCs/>
      <w:color w:val="404040" w:themeColor="text1" w:themeTint="BF"/>
    </w:rPr>
  </w:style>
  <w:style w:type="character" w:customStyle="1" w:styleId="TekstdymkaZnak">
    <w:name w:val="Tekst dymka Znak"/>
    <w:basedOn w:val="Domylnaczcionkaakapitu"/>
    <w:link w:val="Tekstdymka"/>
    <w:semiHidden/>
    <w:rPr>
      <w:rFonts w:ascii="Segoe UI" w:hAnsi="Segoe UI" w:cs="Segoe UI"/>
      <w:color w:val="121313" w:themeColor="background2" w:themeShade="19"/>
      <w:sz w:val="18"/>
      <w:szCs w:val="18"/>
    </w:rPr>
  </w:style>
  <w:style w:type="character" w:customStyle="1" w:styleId="CytatintensywnyZnak">
    <w:name w:val="Cytat intensywny Znak"/>
    <w:aliases w:val="Pozytyw Znak"/>
    <w:basedOn w:val="Domylnaczcionkaakapitu"/>
    <w:link w:val="Cytatintensywny"/>
    <w:rPr>
      <w:i/>
      <w:iCs/>
      <w:color w:val="006139" w:themeColor="accent6"/>
      <w:sz w:val="20"/>
      <w:shd w:val="clear" w:color="auto" w:fill="E1F5F5"/>
    </w:rPr>
  </w:style>
  <w:style w:type="character" w:customStyle="1" w:styleId="CytatZnak">
    <w:name w:val="Cytat Znak"/>
    <w:aliases w:val="Uwaga Znak"/>
    <w:basedOn w:val="Domylnaczcionkaakapitu"/>
    <w:link w:val="Cytat"/>
    <w:rPr>
      <w:i/>
      <w:iCs/>
      <w:color w:val="D90912" w:themeColor="accent4"/>
      <w:sz w:val="20"/>
      <w:shd w:val="clear" w:color="auto" w:fill="FFF5F5"/>
    </w:rPr>
  </w:style>
  <w:style w:type="character" w:customStyle="1" w:styleId="NagwekZnak">
    <w:name w:val="Nagłówek Znak"/>
    <w:basedOn w:val="Domylnaczcionkaakapitu"/>
    <w:link w:val="Nagwek"/>
    <w:rPr>
      <w:color w:val="121313" w:themeColor="background2" w:themeShade="19"/>
      <w:sz w:val="20"/>
    </w:rPr>
  </w:style>
  <w:style w:type="character" w:customStyle="1" w:styleId="StopkaZnak">
    <w:name w:val="Stopka Znak"/>
    <w:basedOn w:val="Domylnaczcionkaakapitu"/>
    <w:link w:val="Stopka"/>
    <w:rPr>
      <w:rFonts w:ascii="Times New Roman" w:hAnsi="Times New Roman"/>
      <w:sz w:val="18"/>
    </w:rPr>
  </w:style>
  <w:style w:type="character" w:styleId="Odwoaniedokomentarza">
    <w:name w:val="annotation reference"/>
    <w:basedOn w:val="Domylnaczcionkaakapitu"/>
    <w:semiHidden/>
    <w:rPr>
      <w:sz w:val="16"/>
      <w:szCs w:val="16"/>
    </w:rPr>
  </w:style>
  <w:style w:type="character" w:customStyle="1" w:styleId="TekstkomentarzaZnak">
    <w:name w:val="Tekst komentarza Znak"/>
    <w:basedOn w:val="Domylnaczcionkaakapitu"/>
    <w:link w:val="Tekstkomentarza"/>
  </w:style>
  <w:style w:type="character" w:customStyle="1" w:styleId="TematkomentarzaZnak">
    <w:name w:val="Temat komentarza Znak"/>
    <w:basedOn w:val="TekstkomentarzaZnak"/>
    <w:link w:val="Tematkomentarza"/>
    <w:semiHidden/>
    <w:rPr>
      <w:b/>
      <w:bCs/>
    </w:rPr>
  </w:style>
  <w:style w:type="character" w:customStyle="1" w:styleId="TekstprzypisukocowegoZnak">
    <w:name w:val="Tekst przypisu końcowego Znak"/>
    <w:basedOn w:val="Domylnaczcionkaakapitu"/>
    <w:link w:val="Tekstprzypisukocowego"/>
    <w:semiHidden/>
  </w:style>
  <w:style w:type="character" w:styleId="Odwoanieprzypisukocowego">
    <w:name w:val="endnote reference"/>
    <w:basedOn w:val="Domylnaczcionkaakapitu"/>
    <w:semiHidden/>
    <w:rPr>
      <w:vertAlign w:val="superscript"/>
    </w:rPr>
  </w:style>
  <w:style w:type="character" w:customStyle="1" w:styleId="Styl1Znak">
    <w:name w:val="Styl1 Znak"/>
    <w:basedOn w:val="PodtytuZnak"/>
    <w:link w:val="Styl1"/>
    <w:rPr>
      <w:rFonts w:eastAsiaTheme="minorEastAsia"/>
      <w:color w:val="auto"/>
      <w:szCs w:val="14"/>
    </w:rPr>
  </w:style>
  <w:style w:type="character" w:customStyle="1" w:styleId="Nagwek4Znak">
    <w:name w:val="Nagłówek 4 Znak"/>
    <w:basedOn w:val="Domylnaczcionkaakapitu"/>
    <w:link w:val="Nagwek4"/>
    <w:semiHidden/>
    <w:rPr>
      <w:rFonts w:asciiTheme="majorHAnsi" w:eastAsiaTheme="majorEastAsia" w:hAnsiTheme="majorHAnsi" w:cstheme="majorBidi"/>
      <w:b/>
      <w:iCs/>
      <w:smallCaps/>
      <w:color w:val="234466" w:themeColor="accent1" w:themeShade="BF"/>
    </w:rPr>
  </w:style>
  <w:style w:type="character" w:customStyle="1" w:styleId="SmallTitleZnak">
    <w:name w:val="SmallTitle Znak"/>
    <w:basedOn w:val="Domylnaczcionkaakapitu"/>
    <w:link w:val="SmallTitle"/>
    <w:rPr>
      <w:rFonts w:ascii="Times New Roman" w:hAnsi="Times New Roman"/>
      <w:b/>
      <w:bCs/>
    </w:rPr>
  </w:style>
  <w:style w:type="character" w:customStyle="1" w:styleId="SmallSubtitleZnak">
    <w:name w:val="SmallSubtitle Znak"/>
    <w:basedOn w:val="Domylnaczcionkaakapitu"/>
    <w:link w:val="SmallSubtitle"/>
    <w:rPr>
      <w:rFonts w:ascii="Times New Roman" w:hAnsi="Times New Roman"/>
      <w:b/>
      <w:caps/>
      <w:lang w:val="en-US"/>
    </w:rPr>
  </w:style>
  <w:style w:type="character" w:styleId="Odwoanieprzypisudolnego">
    <w:name w:val="footnote reference"/>
    <w:semiHidden/>
    <w:rPr>
      <w:vertAlign w:val="superscript"/>
    </w:rPr>
  </w:style>
  <w:style w:type="character" w:customStyle="1" w:styleId="TekstprzypisudolnegoZnak">
    <w:name w:val="Tekst przypisu dolnego Znak"/>
    <w:link w:val="Tekstprzypisudolnego"/>
    <w:semiHidden/>
    <w:rPr>
      <w:sz w:val="20"/>
      <w:szCs w:val="20"/>
    </w:rPr>
  </w:style>
  <w:style w:type="character" w:customStyle="1" w:styleId="EndnoteTextChar">
    <w:name w:val="Endnote Text Char"/>
    <w:semiHidden/>
    <w:rPr>
      <w:sz w:val="20"/>
      <w:szCs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urulis">
    <w:name w:val="Tabela Curulis"/>
    <w:basedOn w:val="Standardowy"/>
    <w:pPr>
      <w:spacing w:after="0" w:line="276" w:lineRule="auto"/>
      <w:jc w:val="right"/>
    </w:pPr>
    <w:rPr>
      <w:rFonts w:ascii="Arial" w:hAnsi="Arial"/>
      <w:sz w:val="18"/>
    </w:rPr>
    <w:tblPr>
      <w:tblBorders>
        <w:bottom w:val="single" w:sz="8" w:space="0" w:color="C2C4C6" w:themeColor="background2"/>
        <w:insideH w:val="single" w:sz="8" w:space="0" w:color="C2C4C6" w:themeColor="background2"/>
        <w:insideV w:val="single" w:sz="8" w:space="0" w:color="FFFFFF" w:themeColor="background1"/>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table" w:customStyle="1" w:styleId="TabelaCurulisLiczby">
    <w:name w:val="Tabela Curulis Liczby"/>
    <w:basedOn w:val="TabelaCurulis"/>
    <w:pPr>
      <w:spacing w:line="240" w:lineRule="auto"/>
    </w:pPr>
    <w:tblPr>
      <w:tblBorders>
        <w:top w:val="single" w:sz="4" w:space="0" w:color="8F9296" w:themeColor="background2" w:themeShade="BF"/>
        <w:left w:val="single" w:sz="4" w:space="0" w:color="8F9296" w:themeColor="background2" w:themeShade="BF"/>
        <w:bottom w:val="single" w:sz="4" w:space="0" w:color="8F9296" w:themeColor="background2" w:themeShade="BF"/>
        <w:right w:val="single" w:sz="4" w:space="0" w:color="8F9296" w:themeColor="background2" w:themeShade="BF"/>
        <w:insideH w:val="single" w:sz="4" w:space="0" w:color="8F9296" w:themeColor="background2" w:themeShade="BF"/>
        <w:insideV w:val="single" w:sz="4" w:space="0" w:color="8F9296" w:themeColor="background2" w:themeShade="BF"/>
      </w:tblBorders>
    </w:tbl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urulis">
  <a:themeElements>
    <a:clrScheme name="Curulis">
      <a:dk1>
        <a:sysClr val="windowText" lastClr="000000"/>
      </a:dk1>
      <a:lt1>
        <a:sysClr val="window" lastClr="FFFFFF"/>
      </a:lt1>
      <a:dk2>
        <a:srgbClr val="3C3F49"/>
      </a:dk2>
      <a:lt2>
        <a:srgbClr val="C2C4C6"/>
      </a:lt2>
      <a:accent1>
        <a:srgbClr val="2F5C89"/>
      </a:accent1>
      <a:accent2>
        <a:srgbClr val="A88848"/>
      </a:accent2>
      <a:accent3>
        <a:srgbClr val="FFC000"/>
      </a:accent3>
      <a:accent4>
        <a:srgbClr val="D90912"/>
      </a:accent4>
      <a:accent5>
        <a:srgbClr val="C6EEDE"/>
      </a:accent5>
      <a:accent6>
        <a:srgbClr val="006139"/>
      </a:accent6>
      <a:hlink>
        <a:srgbClr val="0563C1"/>
      </a:hlink>
      <a:folHlink>
        <a:srgbClr val="954F72"/>
      </a:folHlink>
    </a:clrScheme>
    <a:fontScheme name="Curulis">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E58F-A77E-44F0-9A5F-36F4BD6C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16608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Sawko</dc:creator>
  <cp:keywords>Curulis Sp. z o.o.</cp:keywords>
  <cp:lastModifiedBy>B02-Skarbnik</cp:lastModifiedBy>
  <cp:revision>2</cp:revision>
  <cp:lastPrinted>2023-09-25T12:03:00Z</cp:lastPrinted>
  <dcterms:created xsi:type="dcterms:W3CDTF">2023-09-25T12:13:00Z</dcterms:created>
  <dcterms:modified xsi:type="dcterms:W3CDTF">2023-09-25T12:13:00Z</dcterms:modified>
</cp:coreProperties>
</file>