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8D" w:rsidRDefault="007711FC" w:rsidP="005F4A4E">
      <w:pPr>
        <w:spacing w:after="240"/>
        <w:jc w:val="center"/>
        <w:rPr>
          <w:rFonts w:ascii="Arial" w:hAnsi="Arial" w:cs="Arial"/>
          <w:b/>
          <w:bCs/>
        </w:rPr>
      </w:pPr>
      <w:r>
        <w:rPr>
          <w:rFonts w:ascii="Arial" w:hAnsi="Arial" w:cs="Arial"/>
          <w:b/>
          <w:bCs/>
        </w:rPr>
        <w:t xml:space="preserve"> </w:t>
      </w:r>
      <w:bookmarkStart w:id="0" w:name="_GoBack"/>
      <w:bookmarkEnd w:id="0"/>
    </w:p>
    <w:p w:rsidR="005269BA" w:rsidRPr="005269BA" w:rsidRDefault="005269BA" w:rsidP="005269BA">
      <w:pPr>
        <w:tabs>
          <w:tab w:val="left" w:pos="5040"/>
        </w:tabs>
        <w:ind w:left="4248"/>
        <w:rPr>
          <w:rFonts w:ascii="Times New Roman" w:hAnsi="Times New Roman"/>
          <w:b/>
          <w:sz w:val="28"/>
          <w:szCs w:val="28"/>
        </w:rPr>
      </w:pPr>
      <w:r w:rsidRPr="005269BA">
        <w:rPr>
          <w:rFonts w:ascii="Times New Roman" w:hAnsi="Times New Roman"/>
          <w:b/>
          <w:sz w:val="28"/>
          <w:szCs w:val="28"/>
        </w:rPr>
        <w:t xml:space="preserve">Załącznik Nr </w:t>
      </w:r>
      <w:r>
        <w:rPr>
          <w:rFonts w:ascii="Times New Roman" w:hAnsi="Times New Roman"/>
          <w:b/>
          <w:sz w:val="28"/>
          <w:szCs w:val="28"/>
        </w:rPr>
        <w:t>2</w:t>
      </w:r>
      <w:r w:rsidRPr="005269BA">
        <w:rPr>
          <w:rFonts w:ascii="Times New Roman" w:hAnsi="Times New Roman"/>
          <w:b/>
          <w:sz w:val="28"/>
          <w:szCs w:val="28"/>
        </w:rPr>
        <w:tab/>
      </w:r>
      <w:r w:rsidRPr="005269BA">
        <w:rPr>
          <w:rFonts w:ascii="Times New Roman" w:hAnsi="Times New Roman"/>
          <w:b/>
          <w:sz w:val="28"/>
          <w:szCs w:val="28"/>
        </w:rPr>
        <w:tab/>
      </w:r>
      <w:r w:rsidRPr="005269BA">
        <w:rPr>
          <w:rFonts w:ascii="Times New Roman" w:hAnsi="Times New Roman"/>
          <w:b/>
          <w:sz w:val="28"/>
          <w:szCs w:val="28"/>
        </w:rPr>
        <w:tab/>
      </w:r>
      <w:r w:rsidRPr="005269BA">
        <w:rPr>
          <w:rFonts w:ascii="Times New Roman" w:hAnsi="Times New Roman"/>
          <w:b/>
          <w:sz w:val="28"/>
          <w:szCs w:val="28"/>
        </w:rPr>
        <w:br/>
        <w:t>do Zarządzenia Nr OR.0050.1.175.2022</w:t>
      </w:r>
    </w:p>
    <w:p w:rsidR="005269BA" w:rsidRPr="005269BA" w:rsidRDefault="005269BA" w:rsidP="005269BA">
      <w:pPr>
        <w:tabs>
          <w:tab w:val="left" w:pos="4253"/>
        </w:tabs>
        <w:rPr>
          <w:rFonts w:ascii="Times New Roman" w:hAnsi="Times New Roman"/>
          <w:b/>
          <w:sz w:val="28"/>
          <w:szCs w:val="28"/>
        </w:rPr>
      </w:pPr>
      <w:r w:rsidRPr="005269BA">
        <w:rPr>
          <w:rFonts w:ascii="Times New Roman" w:hAnsi="Times New Roman"/>
          <w:b/>
          <w:sz w:val="28"/>
          <w:szCs w:val="28"/>
        </w:rPr>
        <w:tab/>
        <w:t>Burmistrza Rogoźna</w:t>
      </w:r>
    </w:p>
    <w:p w:rsidR="005269BA" w:rsidRPr="005269BA" w:rsidRDefault="005269BA" w:rsidP="005269BA">
      <w:pPr>
        <w:tabs>
          <w:tab w:val="left" w:pos="4253"/>
        </w:tabs>
        <w:ind w:right="-110"/>
        <w:rPr>
          <w:rFonts w:ascii="Times New Roman" w:hAnsi="Times New Roman"/>
          <w:b/>
          <w:sz w:val="28"/>
          <w:szCs w:val="28"/>
        </w:rPr>
      </w:pPr>
      <w:r w:rsidRPr="005269BA">
        <w:rPr>
          <w:rFonts w:ascii="Times New Roman" w:hAnsi="Times New Roman"/>
          <w:b/>
          <w:sz w:val="28"/>
          <w:szCs w:val="28"/>
        </w:rPr>
        <w:tab/>
        <w:t>z dnia 26 sierpnia 2022 roku</w:t>
      </w:r>
    </w:p>
    <w:p w:rsidR="005269BA" w:rsidRPr="005269BA" w:rsidRDefault="005269BA" w:rsidP="005269BA">
      <w:pPr>
        <w:tabs>
          <w:tab w:val="left" w:pos="5400"/>
          <w:tab w:val="left" w:pos="6480"/>
        </w:tabs>
        <w:rPr>
          <w:rFonts w:ascii="Times New Roman" w:hAnsi="Times New Roman"/>
          <w:b/>
          <w:sz w:val="28"/>
          <w:szCs w:val="28"/>
        </w:rPr>
      </w:pPr>
    </w:p>
    <w:p w:rsidR="005269BA" w:rsidRPr="005269BA" w:rsidRDefault="005269BA" w:rsidP="005269BA">
      <w:pPr>
        <w:tabs>
          <w:tab w:val="left" w:pos="6480"/>
        </w:tabs>
        <w:rPr>
          <w:rFonts w:ascii="Times New Roman" w:hAnsi="Times New Roman"/>
        </w:rPr>
      </w:pPr>
    </w:p>
    <w:p w:rsidR="005269BA" w:rsidRPr="005269BA" w:rsidRDefault="005269BA" w:rsidP="005269BA">
      <w:pPr>
        <w:tabs>
          <w:tab w:val="left" w:pos="6480"/>
        </w:tabs>
        <w:rPr>
          <w:rFonts w:ascii="Times New Roman" w:hAnsi="Times New Roman"/>
        </w:rPr>
      </w:pPr>
    </w:p>
    <w:p w:rsidR="005269BA" w:rsidRPr="005269BA" w:rsidRDefault="005269BA" w:rsidP="005269BA">
      <w:pPr>
        <w:tabs>
          <w:tab w:val="left" w:pos="6480"/>
        </w:tabs>
        <w:rPr>
          <w:rFonts w:ascii="Times New Roman" w:hAnsi="Times New Roman"/>
        </w:rPr>
      </w:pPr>
    </w:p>
    <w:p w:rsidR="005269BA" w:rsidRPr="005269BA" w:rsidRDefault="005269BA" w:rsidP="005269BA">
      <w:pPr>
        <w:tabs>
          <w:tab w:val="left" w:pos="6480"/>
        </w:tabs>
        <w:rPr>
          <w:rFonts w:ascii="Times New Roman" w:hAnsi="Times New Roman"/>
        </w:rPr>
      </w:pPr>
    </w:p>
    <w:p w:rsidR="005269BA" w:rsidRPr="005269BA" w:rsidRDefault="005269BA" w:rsidP="005269BA">
      <w:pPr>
        <w:tabs>
          <w:tab w:val="left" w:pos="6480"/>
        </w:tabs>
        <w:rPr>
          <w:rFonts w:ascii="Times New Roman" w:hAnsi="Times New Roman"/>
        </w:rPr>
      </w:pPr>
    </w:p>
    <w:p w:rsidR="005269BA" w:rsidRPr="005269BA" w:rsidRDefault="005269BA" w:rsidP="005269BA">
      <w:pPr>
        <w:tabs>
          <w:tab w:val="left" w:pos="6480"/>
        </w:tabs>
        <w:rPr>
          <w:rFonts w:ascii="Times New Roman" w:hAnsi="Times New Roman"/>
        </w:rPr>
      </w:pPr>
    </w:p>
    <w:p w:rsidR="005269BA" w:rsidRPr="005269BA" w:rsidRDefault="005269BA" w:rsidP="005269BA">
      <w:pPr>
        <w:tabs>
          <w:tab w:val="left" w:pos="6480"/>
        </w:tabs>
        <w:rPr>
          <w:rFonts w:ascii="Times New Roman" w:hAnsi="Times New Roman"/>
        </w:rPr>
      </w:pPr>
    </w:p>
    <w:p w:rsidR="005269BA" w:rsidRPr="005269BA" w:rsidRDefault="005269BA" w:rsidP="005269BA">
      <w:pPr>
        <w:tabs>
          <w:tab w:val="left" w:pos="6480"/>
        </w:tabs>
        <w:rPr>
          <w:rFonts w:ascii="Times New Roman" w:hAnsi="Times New Roman"/>
        </w:rPr>
      </w:pPr>
    </w:p>
    <w:p w:rsidR="005269BA" w:rsidRPr="005269BA" w:rsidRDefault="005269BA" w:rsidP="005269BA">
      <w:pPr>
        <w:tabs>
          <w:tab w:val="left" w:pos="6480"/>
        </w:tabs>
        <w:rPr>
          <w:rFonts w:ascii="Times New Roman" w:hAnsi="Times New Roman"/>
        </w:rPr>
      </w:pPr>
    </w:p>
    <w:p w:rsidR="005269BA" w:rsidRPr="005269BA" w:rsidRDefault="005269BA" w:rsidP="005269BA">
      <w:pPr>
        <w:spacing w:line="480" w:lineRule="auto"/>
        <w:jc w:val="center"/>
        <w:rPr>
          <w:rFonts w:ascii="Times New Roman" w:hAnsi="Times New Roman"/>
          <w:b/>
          <w:caps/>
          <w:sz w:val="32"/>
          <w:szCs w:val="32"/>
        </w:rPr>
      </w:pPr>
      <w:r w:rsidRPr="005269BA">
        <w:rPr>
          <w:rFonts w:ascii="Times New Roman" w:hAnsi="Times New Roman"/>
          <w:b/>
          <w:caps/>
          <w:sz w:val="32"/>
          <w:szCs w:val="32"/>
        </w:rPr>
        <w:t>INFORMACJA</w:t>
      </w:r>
    </w:p>
    <w:p w:rsidR="005269BA" w:rsidRDefault="005269BA" w:rsidP="005269BA">
      <w:pPr>
        <w:spacing w:line="480" w:lineRule="auto"/>
        <w:jc w:val="center"/>
        <w:rPr>
          <w:rFonts w:ascii="Times New Roman" w:hAnsi="Times New Roman"/>
          <w:b/>
          <w:caps/>
          <w:sz w:val="32"/>
          <w:szCs w:val="32"/>
        </w:rPr>
      </w:pPr>
      <w:r>
        <w:rPr>
          <w:rFonts w:ascii="Times New Roman" w:hAnsi="Times New Roman"/>
          <w:b/>
          <w:caps/>
          <w:sz w:val="32"/>
          <w:szCs w:val="32"/>
        </w:rPr>
        <w:t xml:space="preserve">O KSZTAŁTOWANIU SIĘ WIELOLETNIEJ </w:t>
      </w:r>
    </w:p>
    <w:p w:rsidR="005269BA" w:rsidRPr="005269BA" w:rsidRDefault="005269BA" w:rsidP="005269BA">
      <w:pPr>
        <w:spacing w:line="480" w:lineRule="auto"/>
        <w:jc w:val="center"/>
        <w:rPr>
          <w:rFonts w:ascii="Times New Roman" w:hAnsi="Times New Roman"/>
          <w:b/>
          <w:caps/>
          <w:sz w:val="32"/>
          <w:szCs w:val="32"/>
        </w:rPr>
      </w:pPr>
      <w:r>
        <w:rPr>
          <w:rFonts w:ascii="Times New Roman" w:hAnsi="Times New Roman"/>
          <w:b/>
          <w:caps/>
          <w:sz w:val="32"/>
          <w:szCs w:val="32"/>
        </w:rPr>
        <w:t>PROGNOZY FINANSOWEJ GMINY ROGOŹNO</w:t>
      </w:r>
    </w:p>
    <w:p w:rsidR="005269BA" w:rsidRPr="005269BA" w:rsidRDefault="005269BA" w:rsidP="005269BA">
      <w:pPr>
        <w:spacing w:line="480" w:lineRule="auto"/>
        <w:jc w:val="center"/>
        <w:rPr>
          <w:rFonts w:ascii="Times New Roman" w:hAnsi="Times New Roman"/>
          <w:b/>
          <w:caps/>
          <w:sz w:val="32"/>
          <w:szCs w:val="32"/>
        </w:rPr>
      </w:pPr>
      <w:r w:rsidRPr="005269BA">
        <w:rPr>
          <w:rFonts w:ascii="Times New Roman" w:hAnsi="Times New Roman"/>
          <w:b/>
          <w:caps/>
          <w:sz w:val="32"/>
          <w:szCs w:val="32"/>
        </w:rPr>
        <w:t xml:space="preserve"> za i PÓŁROCZE 2022 rokU</w:t>
      </w:r>
    </w:p>
    <w:p w:rsidR="00C04C8D" w:rsidRDefault="00C04C8D" w:rsidP="005F4A4E">
      <w:pPr>
        <w:spacing w:after="240"/>
        <w:jc w:val="center"/>
        <w:rPr>
          <w:rFonts w:ascii="Arial" w:hAnsi="Arial" w:cs="Arial"/>
          <w:b/>
          <w:bCs/>
        </w:rPr>
      </w:pPr>
    </w:p>
    <w:p w:rsidR="00C04C8D" w:rsidRDefault="00C04C8D" w:rsidP="005F4A4E">
      <w:pPr>
        <w:spacing w:after="240"/>
        <w:jc w:val="center"/>
        <w:rPr>
          <w:rFonts w:ascii="Arial" w:hAnsi="Arial" w:cs="Arial"/>
          <w:b/>
          <w:bCs/>
        </w:rPr>
      </w:pPr>
    </w:p>
    <w:p w:rsidR="00C04C8D" w:rsidRDefault="00C04C8D" w:rsidP="005F4A4E">
      <w:pPr>
        <w:spacing w:after="240"/>
        <w:jc w:val="center"/>
        <w:rPr>
          <w:rFonts w:ascii="Arial" w:hAnsi="Arial" w:cs="Arial"/>
          <w:b/>
          <w:bCs/>
        </w:rPr>
      </w:pPr>
    </w:p>
    <w:p w:rsidR="00C04C8D" w:rsidRDefault="00C04C8D" w:rsidP="005F4A4E">
      <w:pPr>
        <w:spacing w:after="240"/>
        <w:jc w:val="center"/>
        <w:rPr>
          <w:rFonts w:ascii="Arial" w:hAnsi="Arial" w:cs="Arial"/>
          <w:b/>
          <w:bCs/>
        </w:rPr>
      </w:pPr>
    </w:p>
    <w:p w:rsidR="00C04C8D" w:rsidRDefault="00C04C8D" w:rsidP="005F4A4E">
      <w:pPr>
        <w:spacing w:after="240"/>
        <w:jc w:val="center"/>
        <w:rPr>
          <w:rFonts w:ascii="Arial" w:hAnsi="Arial" w:cs="Arial"/>
          <w:b/>
          <w:bCs/>
        </w:rPr>
      </w:pPr>
    </w:p>
    <w:p w:rsidR="00C04C8D" w:rsidRDefault="00C04C8D" w:rsidP="005F4A4E">
      <w:pPr>
        <w:spacing w:after="240"/>
        <w:jc w:val="center"/>
        <w:rPr>
          <w:rFonts w:ascii="Arial" w:hAnsi="Arial" w:cs="Arial"/>
          <w:b/>
          <w:bCs/>
        </w:rPr>
      </w:pPr>
    </w:p>
    <w:p w:rsidR="00C04C8D" w:rsidRDefault="00C04C8D" w:rsidP="005F4A4E">
      <w:pPr>
        <w:spacing w:after="240"/>
        <w:jc w:val="center"/>
        <w:rPr>
          <w:rFonts w:ascii="Arial" w:hAnsi="Arial" w:cs="Arial"/>
          <w:b/>
          <w:bCs/>
        </w:rPr>
      </w:pPr>
    </w:p>
    <w:p w:rsidR="00C04C8D" w:rsidRDefault="00C04C8D" w:rsidP="005F4A4E">
      <w:pPr>
        <w:spacing w:after="240"/>
        <w:jc w:val="center"/>
        <w:rPr>
          <w:rFonts w:ascii="Arial" w:hAnsi="Arial" w:cs="Arial"/>
          <w:b/>
          <w:bCs/>
        </w:rPr>
      </w:pPr>
    </w:p>
    <w:p w:rsidR="00C04C8D" w:rsidRDefault="00C04C8D" w:rsidP="005F4A4E">
      <w:pPr>
        <w:spacing w:after="240"/>
        <w:jc w:val="center"/>
        <w:rPr>
          <w:rFonts w:ascii="Arial" w:hAnsi="Arial" w:cs="Arial"/>
          <w:b/>
          <w:bCs/>
        </w:rPr>
      </w:pPr>
    </w:p>
    <w:p w:rsidR="00C04C8D" w:rsidRDefault="00C04C8D" w:rsidP="005269BA">
      <w:pPr>
        <w:spacing w:after="240"/>
        <w:rPr>
          <w:rFonts w:ascii="Arial" w:hAnsi="Arial" w:cs="Arial"/>
          <w:b/>
          <w:bCs/>
        </w:rPr>
      </w:pPr>
    </w:p>
    <w:p w:rsidR="00C04C8D" w:rsidRDefault="00C04C8D" w:rsidP="005F4A4E">
      <w:pPr>
        <w:spacing w:after="240"/>
        <w:jc w:val="center"/>
        <w:rPr>
          <w:rFonts w:ascii="Arial" w:hAnsi="Arial" w:cs="Arial"/>
          <w:b/>
          <w:bCs/>
        </w:rPr>
      </w:pPr>
    </w:p>
    <w:p w:rsidR="005F4A4E" w:rsidRDefault="005F4A4E" w:rsidP="005F4A4E">
      <w:pPr>
        <w:spacing w:after="240"/>
        <w:jc w:val="center"/>
        <w:rPr>
          <w:rFonts w:ascii="Arial" w:hAnsi="Arial" w:cs="Arial"/>
        </w:rPr>
      </w:pPr>
      <w:r>
        <w:rPr>
          <w:rFonts w:ascii="Arial" w:hAnsi="Arial" w:cs="Arial"/>
          <w:b/>
          <w:bCs/>
        </w:rPr>
        <w:lastRenderedPageBreak/>
        <w:t xml:space="preserve">Informacja o kształtowaniu się Wieloletniej Prognozy Finansowej </w:t>
      </w:r>
      <w:r>
        <w:rPr>
          <w:rFonts w:ascii="Arial" w:hAnsi="Arial" w:cs="Arial"/>
          <w:b/>
          <w:bCs/>
        </w:rPr>
        <w:br/>
        <w:t>Gminy Rogoźno za I półrocze 2022.</w:t>
      </w:r>
    </w:p>
    <w:p w:rsidR="005F4A4E" w:rsidRDefault="005F4A4E" w:rsidP="005F4A4E">
      <w:pPr>
        <w:spacing w:after="240"/>
        <w:jc w:val="both"/>
        <w:rPr>
          <w:rFonts w:ascii="Arial" w:hAnsi="Arial" w:cs="Arial"/>
        </w:rPr>
      </w:pPr>
      <w:r>
        <w:rPr>
          <w:rFonts w:ascii="Arial" w:hAnsi="Arial" w:cs="Arial"/>
          <w:b/>
          <w:bCs/>
        </w:rPr>
        <w:t>1. Wprowadzenie</w:t>
      </w:r>
    </w:p>
    <w:p w:rsidR="005F4A4E" w:rsidRDefault="005F4A4E" w:rsidP="005F4A4E">
      <w:pPr>
        <w:spacing w:after="240"/>
        <w:jc w:val="both"/>
        <w:rPr>
          <w:rFonts w:ascii="Arial" w:hAnsi="Arial" w:cs="Arial"/>
          <w:sz w:val="22"/>
          <w:szCs w:val="22"/>
        </w:rPr>
      </w:pPr>
      <w:r>
        <w:rPr>
          <w:rFonts w:ascii="Arial" w:hAnsi="Arial" w:cs="Arial"/>
          <w:sz w:val="22"/>
          <w:szCs w:val="22"/>
        </w:rPr>
        <w:t>Zgodnie z postanowieniem art. 266 ustawy z dnia 27 sierpnia 2009 r. o finansach publicznych zarząd jednostki samorządu terytorialnego zobowiązany jest przedstawić, w terminie do dnia 31 sierpnia, organowi stanowiącemu informację półroczną o kształtowaniu się wieloletniej prognozy finansowej, w tym o przebiegu realizacji przedsięwzięć, o których mowa w art. 226 ust. 3 ustawy o finansach publicznych. Informację, o której mowa wyżej, zarząd przedkłada również do dnia 31 sierpnia Regionalnej Izbie Obrachunkowej.</w:t>
      </w:r>
    </w:p>
    <w:p w:rsidR="005F4A4E" w:rsidRDefault="005F4A4E" w:rsidP="005F4A4E">
      <w:pPr>
        <w:spacing w:after="240"/>
        <w:jc w:val="both"/>
        <w:rPr>
          <w:rFonts w:ascii="Arial" w:hAnsi="Arial" w:cs="Arial"/>
          <w:sz w:val="22"/>
          <w:szCs w:val="22"/>
        </w:rPr>
      </w:pPr>
      <w:r>
        <w:rPr>
          <w:rFonts w:ascii="Arial" w:hAnsi="Arial" w:cs="Arial"/>
          <w:sz w:val="22"/>
          <w:szCs w:val="22"/>
        </w:rPr>
        <w:t>Podstawą opracowania informacji półrocznej o kształtowaniu się Wieloletniej Prognozy Finansowej była Wieloletnia Prognoza Finansowa Gminy Rogoźno na lata 2022-2037 oraz dane sprawozdawcze z wykonania budżetu Gminy Rogoźno za II kwartał 2022 roku.</w:t>
      </w:r>
    </w:p>
    <w:p w:rsidR="005F4A4E" w:rsidRDefault="005F4A4E" w:rsidP="005F4A4E">
      <w:pPr>
        <w:spacing w:after="240"/>
        <w:jc w:val="both"/>
        <w:rPr>
          <w:rFonts w:ascii="Arial" w:hAnsi="Arial" w:cs="Arial"/>
          <w:sz w:val="22"/>
          <w:szCs w:val="22"/>
        </w:rPr>
      </w:pPr>
      <w:r>
        <w:rPr>
          <w:rFonts w:ascii="Arial" w:hAnsi="Arial" w:cs="Arial"/>
          <w:sz w:val="22"/>
          <w:szCs w:val="22"/>
        </w:rPr>
        <w:t>Wieloletnia Prognoza Finansowa Gminy Rogoźno na rok 2022 została przyjęta uchwałą nr LIX/564/2021 Rady Miejskiej w Rogoźnie z dnia 30.12.2021 roku (z </w:t>
      </w:r>
      <w:proofErr w:type="spellStart"/>
      <w:r>
        <w:rPr>
          <w:rFonts w:ascii="Arial" w:hAnsi="Arial" w:cs="Arial"/>
          <w:sz w:val="22"/>
          <w:szCs w:val="22"/>
        </w:rPr>
        <w:t>późn</w:t>
      </w:r>
      <w:proofErr w:type="spellEnd"/>
      <w:r>
        <w:rPr>
          <w:rFonts w:ascii="Arial" w:hAnsi="Arial" w:cs="Arial"/>
          <w:sz w:val="22"/>
          <w:szCs w:val="22"/>
        </w:rPr>
        <w:t>. zm.).</w:t>
      </w:r>
    </w:p>
    <w:p w:rsidR="005F4A4E" w:rsidRDefault="005F4A4E" w:rsidP="005F4A4E">
      <w:pPr>
        <w:spacing w:after="240"/>
        <w:jc w:val="both"/>
        <w:rPr>
          <w:rFonts w:ascii="Arial" w:hAnsi="Arial" w:cs="Arial"/>
          <w:sz w:val="22"/>
          <w:szCs w:val="22"/>
        </w:rPr>
      </w:pPr>
      <w:r>
        <w:rPr>
          <w:rFonts w:ascii="Arial" w:hAnsi="Arial" w:cs="Arial"/>
          <w:sz w:val="22"/>
          <w:szCs w:val="22"/>
        </w:rPr>
        <w:t>Informacja o kształtowaniu się Wieloletniej Prognozy Finansowej za I półrocze 2022 roku sporządzona została w formie opisowej oraz tabelarycznej, w układzie przyjętym w Wieloletniej Prognozie Finansowej, obejmując:</w:t>
      </w:r>
    </w:p>
    <w:p w:rsidR="005F4A4E" w:rsidRPr="00BA6255" w:rsidRDefault="005F4A4E" w:rsidP="005F4A4E">
      <w:pPr>
        <w:pStyle w:val="Akapitzlist"/>
        <w:numPr>
          <w:ilvl w:val="0"/>
          <w:numId w:val="1"/>
        </w:numPr>
        <w:spacing w:after="240"/>
        <w:jc w:val="both"/>
        <w:rPr>
          <w:rFonts w:ascii="Arial" w:hAnsi="Arial" w:cs="Arial"/>
          <w:sz w:val="22"/>
          <w:szCs w:val="22"/>
        </w:rPr>
      </w:pPr>
      <w:r w:rsidRPr="00BA6255">
        <w:rPr>
          <w:rFonts w:ascii="Arial" w:hAnsi="Arial" w:cs="Arial"/>
          <w:sz w:val="22"/>
          <w:szCs w:val="22"/>
        </w:rPr>
        <w:t>Wieloletnią Prognozę Finansową Gminy Rogoźno na lata 2022-2037 (załącznik 1);</w:t>
      </w:r>
    </w:p>
    <w:p w:rsidR="005F4A4E" w:rsidRPr="00BA6255" w:rsidRDefault="005F4A4E" w:rsidP="005F4A4E">
      <w:pPr>
        <w:pStyle w:val="Akapitzlist"/>
        <w:numPr>
          <w:ilvl w:val="0"/>
          <w:numId w:val="1"/>
        </w:numPr>
        <w:spacing w:after="240"/>
        <w:jc w:val="both"/>
        <w:rPr>
          <w:rFonts w:ascii="Arial" w:hAnsi="Arial" w:cs="Arial"/>
          <w:sz w:val="22"/>
          <w:szCs w:val="22"/>
        </w:rPr>
      </w:pPr>
      <w:r w:rsidRPr="00BA6255">
        <w:rPr>
          <w:rFonts w:ascii="Arial" w:hAnsi="Arial" w:cs="Arial"/>
          <w:sz w:val="22"/>
          <w:szCs w:val="22"/>
        </w:rPr>
        <w:t>wykaz przedsięwzięć wieloletnich Gminy Rogoźno (załącznik 2).</w:t>
      </w:r>
    </w:p>
    <w:p w:rsidR="005F4A4E" w:rsidRDefault="005F4A4E" w:rsidP="005F4A4E">
      <w:pPr>
        <w:spacing w:after="240"/>
        <w:jc w:val="both"/>
        <w:rPr>
          <w:rFonts w:ascii="Arial" w:hAnsi="Arial" w:cs="Arial"/>
          <w:sz w:val="22"/>
          <w:szCs w:val="22"/>
        </w:rPr>
      </w:pPr>
      <w:r>
        <w:rPr>
          <w:rFonts w:ascii="Arial" w:hAnsi="Arial" w:cs="Arial"/>
          <w:sz w:val="22"/>
          <w:szCs w:val="22"/>
        </w:rPr>
        <w:t>Zgodnie z zapisami art. 229 ustawy o finansach publicznych wartości przyjęte w Wieloletniej Prognozie Finansowej i budżecie są zgodne w zakresie wyniku i związanych z nim kwot przychodów i rozchodów oraz długu jednostki samorządu terytorialnego.</w:t>
      </w:r>
    </w:p>
    <w:p w:rsidR="005F4A4E" w:rsidRDefault="005F4A4E" w:rsidP="005F4A4E">
      <w:pPr>
        <w:spacing w:after="240"/>
        <w:jc w:val="both"/>
        <w:rPr>
          <w:rFonts w:ascii="Arial" w:hAnsi="Arial" w:cs="Arial"/>
        </w:rPr>
      </w:pPr>
      <w:r>
        <w:rPr>
          <w:rFonts w:ascii="Arial" w:hAnsi="Arial" w:cs="Arial"/>
          <w:b/>
          <w:bCs/>
        </w:rPr>
        <w:t>2. Dochody</w:t>
      </w:r>
    </w:p>
    <w:p w:rsidR="005F4A4E" w:rsidRDefault="005F4A4E" w:rsidP="005F4A4E">
      <w:pPr>
        <w:spacing w:after="240"/>
        <w:jc w:val="both"/>
        <w:rPr>
          <w:rFonts w:ascii="Arial" w:hAnsi="Arial" w:cs="Arial"/>
          <w:sz w:val="22"/>
          <w:szCs w:val="22"/>
        </w:rPr>
      </w:pPr>
      <w:r>
        <w:rPr>
          <w:rFonts w:ascii="Arial" w:hAnsi="Arial" w:cs="Arial"/>
          <w:sz w:val="22"/>
          <w:szCs w:val="22"/>
        </w:rPr>
        <w:t>Plan dochodów budżetu Gminy Rogoźno na dzień 30.06.2022 r. po zmianach wynosił ogółem 96 331 328,82 zł, wykonanie po II kwartale roku budżetowego 2022 wynosiło 57 069 937,62 zł, tj. 59,24%.</w:t>
      </w:r>
    </w:p>
    <w:p w:rsidR="005F4A4E" w:rsidRDefault="005F4A4E" w:rsidP="005F4A4E">
      <w:pPr>
        <w:spacing w:after="240"/>
        <w:jc w:val="both"/>
        <w:rPr>
          <w:rFonts w:ascii="Arial" w:hAnsi="Arial" w:cs="Arial"/>
          <w:sz w:val="22"/>
          <w:szCs w:val="22"/>
        </w:rPr>
      </w:pPr>
      <w:r>
        <w:rPr>
          <w:rFonts w:ascii="Arial" w:hAnsi="Arial" w:cs="Arial"/>
          <w:sz w:val="22"/>
          <w:szCs w:val="22"/>
        </w:rPr>
        <w:t>Dochody obejmują:</w:t>
      </w:r>
    </w:p>
    <w:p w:rsidR="005F4A4E" w:rsidRPr="00EA1F2E" w:rsidRDefault="005F4A4E" w:rsidP="005F4A4E">
      <w:pPr>
        <w:pStyle w:val="Akapitzlist"/>
        <w:numPr>
          <w:ilvl w:val="0"/>
          <w:numId w:val="2"/>
        </w:numPr>
        <w:spacing w:after="60"/>
        <w:rPr>
          <w:rFonts w:ascii="Arial" w:hAnsi="Arial" w:cs="Arial"/>
          <w:sz w:val="22"/>
          <w:szCs w:val="22"/>
        </w:rPr>
      </w:pPr>
      <w:r w:rsidRPr="00EA1F2E">
        <w:rPr>
          <w:rFonts w:ascii="Arial" w:hAnsi="Arial" w:cs="Arial"/>
          <w:sz w:val="22"/>
          <w:szCs w:val="22"/>
        </w:rPr>
        <w:t>dochody bieżące – zaplanowane w kwocie 85 544 266,55 zł, wykonane na dzień 30.06.2022 r. w kwocie 53 200 332,81 zł, tj. 62,19%, w tym:</w:t>
      </w:r>
    </w:p>
    <w:p w:rsidR="005F4A4E" w:rsidRPr="00EA1F2E" w:rsidRDefault="005F4A4E" w:rsidP="005F4A4E">
      <w:pPr>
        <w:pStyle w:val="Akapitzlist"/>
        <w:numPr>
          <w:ilvl w:val="1"/>
          <w:numId w:val="2"/>
        </w:numPr>
        <w:spacing w:after="60"/>
        <w:rPr>
          <w:rFonts w:ascii="Arial" w:hAnsi="Arial" w:cs="Arial"/>
          <w:sz w:val="22"/>
          <w:szCs w:val="22"/>
        </w:rPr>
      </w:pPr>
      <w:r w:rsidRPr="00EA1F2E">
        <w:rPr>
          <w:rFonts w:ascii="Arial" w:hAnsi="Arial" w:cs="Arial"/>
          <w:sz w:val="22"/>
          <w:szCs w:val="22"/>
        </w:rPr>
        <w:t>dochody z tytułu udziału we wpływach z podatku dochodowego od osób fizycznych (PIT) – zaplanowane w kwocie 13 032 462,00 zł, wykonane na dzień 30.06.2022 r. w kwocie 6 516 234,00 zł, tj. 50,00%;</w:t>
      </w:r>
    </w:p>
    <w:p w:rsidR="005F4A4E" w:rsidRPr="00EA1F2E" w:rsidRDefault="005F4A4E" w:rsidP="005F4A4E">
      <w:pPr>
        <w:pStyle w:val="Akapitzlist"/>
        <w:numPr>
          <w:ilvl w:val="1"/>
          <w:numId w:val="2"/>
        </w:numPr>
        <w:spacing w:after="60"/>
        <w:rPr>
          <w:rFonts w:ascii="Arial" w:hAnsi="Arial" w:cs="Arial"/>
          <w:sz w:val="22"/>
          <w:szCs w:val="22"/>
        </w:rPr>
      </w:pPr>
      <w:r w:rsidRPr="00EA1F2E">
        <w:rPr>
          <w:rFonts w:ascii="Arial" w:hAnsi="Arial" w:cs="Arial"/>
          <w:sz w:val="22"/>
          <w:szCs w:val="22"/>
        </w:rPr>
        <w:t>dochody z tytułu udziału we wpływach z podatku dochodowego od osób prawnych (CIT) – zaplanowane w kwocie 1 356 591,00 zł, wykonane na dzień 30.06.2022 r. w kwocie 678 294,00 zł, tj. 50,00%;</w:t>
      </w:r>
    </w:p>
    <w:p w:rsidR="005F4A4E" w:rsidRPr="00EA1F2E" w:rsidRDefault="005F4A4E" w:rsidP="005F4A4E">
      <w:pPr>
        <w:pStyle w:val="Akapitzlist"/>
        <w:numPr>
          <w:ilvl w:val="1"/>
          <w:numId w:val="2"/>
        </w:numPr>
        <w:spacing w:after="60"/>
        <w:rPr>
          <w:rFonts w:ascii="Arial" w:hAnsi="Arial" w:cs="Arial"/>
          <w:sz w:val="22"/>
          <w:szCs w:val="22"/>
        </w:rPr>
      </w:pPr>
      <w:r w:rsidRPr="00EA1F2E">
        <w:rPr>
          <w:rFonts w:ascii="Arial" w:hAnsi="Arial" w:cs="Arial"/>
          <w:sz w:val="22"/>
          <w:szCs w:val="22"/>
        </w:rPr>
        <w:t>dochody z subwencji ogólnej – zaplanowane w kwocie 22 461 546,00 zł, wykonane na dzień 30.06.2022 r. w kwocie 12 954 455,00 zł, tj. 57,67%;</w:t>
      </w:r>
    </w:p>
    <w:p w:rsidR="005F4A4E" w:rsidRPr="00EA1F2E" w:rsidRDefault="005F4A4E" w:rsidP="005F4A4E">
      <w:pPr>
        <w:pStyle w:val="Akapitzlist"/>
        <w:numPr>
          <w:ilvl w:val="1"/>
          <w:numId w:val="2"/>
        </w:numPr>
        <w:spacing w:after="60"/>
        <w:rPr>
          <w:rFonts w:ascii="Arial" w:hAnsi="Arial" w:cs="Arial"/>
          <w:sz w:val="22"/>
          <w:szCs w:val="22"/>
        </w:rPr>
      </w:pPr>
      <w:r w:rsidRPr="00EA1F2E">
        <w:rPr>
          <w:rFonts w:ascii="Arial" w:hAnsi="Arial" w:cs="Arial"/>
          <w:sz w:val="22"/>
          <w:szCs w:val="22"/>
        </w:rPr>
        <w:t>dochody z tytułu dotacji i środków przeznaczonych na cele bieżące – zaplanowane w kwocie 25 263 524,46 zł, wykonane na dzień 30.06.2022 r. w kwocie 20 109 971,20 zł, tj. 79,60%;</w:t>
      </w:r>
    </w:p>
    <w:p w:rsidR="005F4A4E" w:rsidRPr="00EA1F2E" w:rsidRDefault="005F4A4E" w:rsidP="005F4A4E">
      <w:pPr>
        <w:pStyle w:val="Akapitzlist"/>
        <w:numPr>
          <w:ilvl w:val="1"/>
          <w:numId w:val="2"/>
        </w:numPr>
        <w:spacing w:after="240"/>
        <w:jc w:val="both"/>
        <w:rPr>
          <w:rFonts w:ascii="Arial" w:hAnsi="Arial" w:cs="Arial"/>
          <w:sz w:val="22"/>
          <w:szCs w:val="22"/>
        </w:rPr>
      </w:pPr>
      <w:r w:rsidRPr="00EA1F2E">
        <w:rPr>
          <w:rFonts w:ascii="Arial" w:hAnsi="Arial" w:cs="Arial"/>
          <w:sz w:val="22"/>
          <w:szCs w:val="22"/>
        </w:rPr>
        <w:lastRenderedPageBreak/>
        <w:t>pozostałe dochody bieżące – zaplanowane w kwocie 23 430 143,09 zł, wykonane na dzień 30.06.2022 r. w kwocie 12 941 378,61 zł, tj. 55,23%.</w:t>
      </w:r>
    </w:p>
    <w:p w:rsidR="005F4A4E" w:rsidRPr="00EA1F2E" w:rsidRDefault="005F4A4E" w:rsidP="005F4A4E">
      <w:pPr>
        <w:pStyle w:val="Akapitzlist"/>
        <w:numPr>
          <w:ilvl w:val="0"/>
          <w:numId w:val="2"/>
        </w:numPr>
        <w:spacing w:after="60"/>
        <w:rPr>
          <w:rFonts w:ascii="Arial" w:hAnsi="Arial" w:cs="Arial"/>
          <w:sz w:val="22"/>
          <w:szCs w:val="22"/>
        </w:rPr>
      </w:pPr>
      <w:r w:rsidRPr="00EA1F2E">
        <w:rPr>
          <w:rFonts w:ascii="Arial" w:hAnsi="Arial" w:cs="Arial"/>
          <w:sz w:val="22"/>
          <w:szCs w:val="22"/>
        </w:rPr>
        <w:t>dochody majątkowe – zaplanowane w kwocie 10 787 062,27 zł, wykonane na dzień 30.06.2022 r. w kwocie 3 869 604,81 zł, tj. 35,87%, w tym:</w:t>
      </w:r>
    </w:p>
    <w:p w:rsidR="005F4A4E" w:rsidRPr="00EA1F2E" w:rsidRDefault="005F4A4E" w:rsidP="005F4A4E">
      <w:pPr>
        <w:pStyle w:val="Akapitzlist"/>
        <w:numPr>
          <w:ilvl w:val="1"/>
          <w:numId w:val="2"/>
        </w:numPr>
        <w:spacing w:after="60"/>
        <w:rPr>
          <w:rFonts w:ascii="Arial" w:hAnsi="Arial" w:cs="Arial"/>
          <w:sz w:val="22"/>
          <w:szCs w:val="22"/>
        </w:rPr>
      </w:pPr>
      <w:r w:rsidRPr="00EA1F2E">
        <w:rPr>
          <w:rFonts w:ascii="Arial" w:hAnsi="Arial" w:cs="Arial"/>
          <w:sz w:val="22"/>
          <w:szCs w:val="22"/>
        </w:rPr>
        <w:t>dochody ze sprzedaży majątku – zaplanowane w kwocie 2 622 982,29 zł, wykonane na dzień 30.06.2022 r. w kwocie 2 606 214,74 zł,  tj. 99,36%;</w:t>
      </w:r>
    </w:p>
    <w:p w:rsidR="005F4A4E" w:rsidRPr="00EA1F2E" w:rsidRDefault="005F4A4E" w:rsidP="005F4A4E">
      <w:pPr>
        <w:pStyle w:val="Akapitzlist"/>
        <w:numPr>
          <w:ilvl w:val="1"/>
          <w:numId w:val="2"/>
        </w:numPr>
        <w:spacing w:after="240"/>
        <w:jc w:val="both"/>
        <w:rPr>
          <w:rFonts w:ascii="Arial" w:hAnsi="Arial" w:cs="Arial"/>
          <w:sz w:val="22"/>
          <w:szCs w:val="22"/>
        </w:rPr>
      </w:pPr>
      <w:r w:rsidRPr="00EA1F2E">
        <w:rPr>
          <w:rFonts w:ascii="Arial" w:hAnsi="Arial" w:cs="Arial"/>
          <w:sz w:val="22"/>
          <w:szCs w:val="22"/>
        </w:rPr>
        <w:t>z tytułu dotacji oraz środków przeznaczonych na inwestycje – zaplanowane w kwocie 8 119 079,98 zł, wykonane na dzień 30.06.2022 r. w kwocie 1 234 711,00 zł,  tj. 15,21%.</w:t>
      </w:r>
    </w:p>
    <w:p w:rsidR="005F4A4E" w:rsidRDefault="005F4A4E" w:rsidP="005F4A4E">
      <w:pPr>
        <w:spacing w:after="240"/>
        <w:jc w:val="both"/>
        <w:rPr>
          <w:rFonts w:ascii="Arial" w:hAnsi="Arial" w:cs="Arial"/>
        </w:rPr>
      </w:pPr>
      <w:r>
        <w:rPr>
          <w:rFonts w:ascii="Arial" w:hAnsi="Arial" w:cs="Arial"/>
          <w:b/>
          <w:bCs/>
        </w:rPr>
        <w:t>3. Wydatki</w:t>
      </w:r>
    </w:p>
    <w:p w:rsidR="005F4A4E" w:rsidRDefault="005F4A4E" w:rsidP="005F4A4E">
      <w:pPr>
        <w:spacing w:after="240"/>
        <w:jc w:val="both"/>
        <w:rPr>
          <w:rFonts w:ascii="Arial" w:hAnsi="Arial" w:cs="Arial"/>
          <w:sz w:val="22"/>
          <w:szCs w:val="22"/>
        </w:rPr>
      </w:pPr>
      <w:r>
        <w:rPr>
          <w:rFonts w:ascii="Arial" w:hAnsi="Arial" w:cs="Arial"/>
          <w:sz w:val="22"/>
          <w:szCs w:val="22"/>
        </w:rPr>
        <w:t>Plan wydatków budżetu Gminy Rogoźno na dzień 30.06.2022 r. po zmianach wynosił ogółem 100 335 067,79 zł, wykonanie po II kwartale roku budżetowego 2022 wynosiło 52 444 735,96 zł, tj. 52,27%.</w:t>
      </w:r>
    </w:p>
    <w:p w:rsidR="005F4A4E" w:rsidRDefault="005F4A4E" w:rsidP="005F4A4E">
      <w:pPr>
        <w:spacing w:after="240"/>
        <w:jc w:val="both"/>
        <w:rPr>
          <w:rFonts w:ascii="Arial" w:hAnsi="Arial" w:cs="Arial"/>
          <w:sz w:val="22"/>
          <w:szCs w:val="22"/>
        </w:rPr>
      </w:pPr>
      <w:r>
        <w:rPr>
          <w:rFonts w:ascii="Arial" w:hAnsi="Arial" w:cs="Arial"/>
          <w:sz w:val="22"/>
          <w:szCs w:val="22"/>
        </w:rPr>
        <w:t>Wydatki obejmują:</w:t>
      </w:r>
    </w:p>
    <w:p w:rsidR="005F4A4E" w:rsidRPr="00EA1F2E" w:rsidRDefault="005F4A4E" w:rsidP="005F4A4E">
      <w:pPr>
        <w:pStyle w:val="Akapitzlist"/>
        <w:numPr>
          <w:ilvl w:val="0"/>
          <w:numId w:val="4"/>
        </w:numPr>
        <w:spacing w:after="60"/>
        <w:rPr>
          <w:rFonts w:ascii="Arial" w:hAnsi="Arial" w:cs="Arial"/>
          <w:sz w:val="22"/>
          <w:szCs w:val="22"/>
        </w:rPr>
      </w:pPr>
      <w:r w:rsidRPr="00EA1F2E">
        <w:rPr>
          <w:rFonts w:ascii="Arial" w:hAnsi="Arial" w:cs="Arial"/>
          <w:sz w:val="22"/>
          <w:szCs w:val="22"/>
        </w:rPr>
        <w:t>wydatki bieżące – zaplanowane w kwocie 86 347 844,01 zł, wykonane na dzień 30.06.2022 r. w kwocie 51 537 406,40 zł, tj. 59,69%, w tym:</w:t>
      </w:r>
    </w:p>
    <w:p w:rsidR="005F4A4E" w:rsidRPr="00EA1F2E" w:rsidRDefault="005F4A4E" w:rsidP="005F4A4E">
      <w:pPr>
        <w:pStyle w:val="Akapitzlist"/>
        <w:numPr>
          <w:ilvl w:val="1"/>
          <w:numId w:val="4"/>
        </w:numPr>
        <w:spacing w:after="240"/>
        <w:jc w:val="both"/>
        <w:rPr>
          <w:rFonts w:ascii="Arial" w:hAnsi="Arial" w:cs="Arial"/>
          <w:sz w:val="22"/>
          <w:szCs w:val="22"/>
        </w:rPr>
      </w:pPr>
      <w:r w:rsidRPr="00EA1F2E">
        <w:rPr>
          <w:rFonts w:ascii="Arial" w:hAnsi="Arial" w:cs="Arial"/>
          <w:sz w:val="22"/>
          <w:szCs w:val="22"/>
        </w:rPr>
        <w:t>wydatki na obsługę długu – zaplanowane w kwocie 749 158,00 zł, wykonane na dzień 30.06.2022 r. w kwocie 390 608,59 zł, tj. 52,14%.</w:t>
      </w:r>
    </w:p>
    <w:p w:rsidR="005F4A4E" w:rsidRPr="00EA1F2E" w:rsidRDefault="005F4A4E" w:rsidP="005F4A4E">
      <w:pPr>
        <w:pStyle w:val="Akapitzlist"/>
        <w:numPr>
          <w:ilvl w:val="0"/>
          <w:numId w:val="4"/>
        </w:numPr>
        <w:spacing w:after="240"/>
        <w:jc w:val="both"/>
        <w:rPr>
          <w:rFonts w:ascii="Arial" w:hAnsi="Arial" w:cs="Arial"/>
          <w:sz w:val="22"/>
          <w:szCs w:val="22"/>
        </w:rPr>
      </w:pPr>
      <w:r w:rsidRPr="00EA1F2E">
        <w:rPr>
          <w:rFonts w:ascii="Arial" w:hAnsi="Arial" w:cs="Arial"/>
          <w:sz w:val="22"/>
          <w:szCs w:val="22"/>
        </w:rPr>
        <w:t>wydatki majątkowe – zaplanowane w kwocie 13 987 223,78 zł, wykonane na dzień 30.06.2022 r. w kwocie 907 329,56 zł, tj. 6,49%.</w:t>
      </w:r>
    </w:p>
    <w:p w:rsidR="005F4A4E" w:rsidRDefault="005F4A4E" w:rsidP="005F4A4E">
      <w:pPr>
        <w:spacing w:after="240"/>
        <w:jc w:val="both"/>
        <w:rPr>
          <w:rFonts w:ascii="Arial" w:hAnsi="Arial" w:cs="Arial"/>
        </w:rPr>
      </w:pPr>
      <w:r>
        <w:rPr>
          <w:rFonts w:ascii="Arial" w:hAnsi="Arial" w:cs="Arial"/>
          <w:b/>
          <w:bCs/>
        </w:rPr>
        <w:t>4. Wynik budżetu</w:t>
      </w:r>
    </w:p>
    <w:p w:rsidR="005F4A4E" w:rsidRDefault="005F4A4E" w:rsidP="005F4A4E">
      <w:pPr>
        <w:spacing w:after="240"/>
        <w:jc w:val="both"/>
        <w:rPr>
          <w:rFonts w:ascii="Arial" w:hAnsi="Arial" w:cs="Arial"/>
          <w:sz w:val="22"/>
          <w:szCs w:val="22"/>
        </w:rPr>
      </w:pPr>
      <w:r>
        <w:rPr>
          <w:rFonts w:ascii="Arial" w:hAnsi="Arial" w:cs="Arial"/>
          <w:sz w:val="22"/>
          <w:szCs w:val="22"/>
        </w:rPr>
        <w:t>Dochody Gminy Rogoźno zostały zrealizowane w wysokości 57 069 937,62 zł. Na realizację zadań gminnych przeznaczono kwotę 52 444 735,96 zł. Oznacza to, że w I półroczu odnotowano nadwyżkę budżetową w wysokości 4 625 201,66 zł.</w:t>
      </w:r>
    </w:p>
    <w:p w:rsidR="005F4A4E" w:rsidRDefault="005F4A4E" w:rsidP="005F4A4E">
      <w:pPr>
        <w:spacing w:after="240"/>
        <w:jc w:val="both"/>
        <w:rPr>
          <w:rFonts w:ascii="Arial" w:hAnsi="Arial" w:cs="Arial"/>
          <w:sz w:val="22"/>
          <w:szCs w:val="22"/>
        </w:rPr>
      </w:pPr>
      <w:r>
        <w:rPr>
          <w:rFonts w:ascii="Arial" w:hAnsi="Arial" w:cs="Arial"/>
          <w:sz w:val="22"/>
          <w:szCs w:val="22"/>
        </w:rPr>
        <w:t>Saldo operacyjne budżetu art. 242 (dochody bieżące − wydatki bieżące) osiągnęło wartość dodatnią i wyniosło 1 662 926,41 zł.</w:t>
      </w:r>
    </w:p>
    <w:p w:rsidR="005F4A4E" w:rsidRDefault="005F4A4E" w:rsidP="005F4A4E">
      <w:pPr>
        <w:spacing w:after="240"/>
        <w:jc w:val="both"/>
        <w:rPr>
          <w:rFonts w:ascii="Arial" w:hAnsi="Arial" w:cs="Arial"/>
        </w:rPr>
      </w:pPr>
      <w:r>
        <w:rPr>
          <w:rFonts w:ascii="Arial" w:hAnsi="Arial" w:cs="Arial"/>
          <w:b/>
          <w:bCs/>
        </w:rPr>
        <w:t>5. Przychody</w:t>
      </w:r>
    </w:p>
    <w:p w:rsidR="005F4A4E" w:rsidRDefault="005F4A4E" w:rsidP="005F4A4E">
      <w:pPr>
        <w:spacing w:after="240"/>
        <w:jc w:val="both"/>
        <w:rPr>
          <w:rFonts w:ascii="Arial" w:hAnsi="Arial" w:cs="Arial"/>
          <w:sz w:val="22"/>
          <w:szCs w:val="22"/>
        </w:rPr>
      </w:pPr>
      <w:r>
        <w:rPr>
          <w:rFonts w:ascii="Arial" w:hAnsi="Arial" w:cs="Arial"/>
          <w:sz w:val="22"/>
          <w:szCs w:val="22"/>
        </w:rPr>
        <w:t>Przychody budżetu na dzień 30.06.2022 r. zrealizowano na łączną kwotę 7 793 716,43 zł, w tym:</w:t>
      </w:r>
    </w:p>
    <w:p w:rsidR="005F4A4E" w:rsidRPr="00EA1F2E" w:rsidRDefault="005F4A4E" w:rsidP="005F4A4E">
      <w:pPr>
        <w:pStyle w:val="Akapitzlist"/>
        <w:numPr>
          <w:ilvl w:val="0"/>
          <w:numId w:val="6"/>
        </w:numPr>
        <w:spacing w:after="60"/>
        <w:rPr>
          <w:rFonts w:ascii="Arial" w:hAnsi="Arial" w:cs="Arial"/>
          <w:sz w:val="22"/>
          <w:szCs w:val="22"/>
        </w:rPr>
      </w:pPr>
      <w:r w:rsidRPr="00EA1F2E">
        <w:rPr>
          <w:rFonts w:ascii="Arial" w:hAnsi="Arial" w:cs="Arial"/>
          <w:sz w:val="22"/>
          <w:szCs w:val="22"/>
        </w:rPr>
        <w:t>nadwyżka budżetowa z lat ubiegłych – 1 527 485,98 zł, tj. 100,00%</w:t>
      </w:r>
    </w:p>
    <w:p w:rsidR="005F4A4E" w:rsidRPr="00EA1F2E" w:rsidRDefault="005F4A4E" w:rsidP="005F4A4E">
      <w:pPr>
        <w:pStyle w:val="Akapitzlist"/>
        <w:numPr>
          <w:ilvl w:val="0"/>
          <w:numId w:val="6"/>
        </w:numPr>
        <w:spacing w:after="240"/>
        <w:jc w:val="both"/>
        <w:rPr>
          <w:rFonts w:ascii="Arial" w:hAnsi="Arial" w:cs="Arial"/>
          <w:sz w:val="22"/>
          <w:szCs w:val="22"/>
        </w:rPr>
      </w:pPr>
      <w:r w:rsidRPr="00EA1F2E">
        <w:rPr>
          <w:rFonts w:ascii="Arial" w:hAnsi="Arial" w:cs="Arial"/>
          <w:sz w:val="22"/>
          <w:szCs w:val="22"/>
        </w:rPr>
        <w:t>wolne środki, o których mowa w art. 217 ust. 2 pkt 6 ustawy – 6 266 230,45 zł, tj.</w:t>
      </w:r>
      <w:r>
        <w:rPr>
          <w:rFonts w:ascii="Arial" w:hAnsi="Arial" w:cs="Arial"/>
          <w:sz w:val="22"/>
          <w:szCs w:val="22"/>
        </w:rPr>
        <w:t> </w:t>
      </w:r>
      <w:r w:rsidRPr="00EA1F2E">
        <w:rPr>
          <w:rFonts w:ascii="Arial" w:hAnsi="Arial" w:cs="Arial"/>
          <w:sz w:val="22"/>
          <w:szCs w:val="22"/>
        </w:rPr>
        <w:t>399,22%</w:t>
      </w:r>
    </w:p>
    <w:p w:rsidR="005F4A4E" w:rsidRDefault="005F4A4E" w:rsidP="005F4A4E">
      <w:pPr>
        <w:spacing w:after="240"/>
        <w:jc w:val="both"/>
        <w:rPr>
          <w:rFonts w:ascii="Arial" w:hAnsi="Arial" w:cs="Arial"/>
        </w:rPr>
      </w:pPr>
      <w:r>
        <w:rPr>
          <w:rFonts w:ascii="Arial" w:hAnsi="Arial" w:cs="Arial"/>
          <w:b/>
          <w:bCs/>
        </w:rPr>
        <w:t>6. Rozchody</w:t>
      </w:r>
    </w:p>
    <w:p w:rsidR="005F4A4E" w:rsidRDefault="005F4A4E" w:rsidP="005F4A4E">
      <w:pPr>
        <w:spacing w:after="240"/>
        <w:jc w:val="both"/>
        <w:rPr>
          <w:rFonts w:ascii="Arial" w:hAnsi="Arial" w:cs="Arial"/>
          <w:sz w:val="22"/>
          <w:szCs w:val="22"/>
        </w:rPr>
      </w:pPr>
      <w:r>
        <w:rPr>
          <w:rFonts w:ascii="Arial" w:hAnsi="Arial" w:cs="Arial"/>
          <w:sz w:val="22"/>
          <w:szCs w:val="22"/>
        </w:rPr>
        <w:t>Rozchody budżetu na dzień 30.06.2022 r. zrealizowano na łączną kwotę 400 000,00 zł, tj. 18,04% planu.</w:t>
      </w:r>
    </w:p>
    <w:p w:rsidR="005F4A4E" w:rsidRDefault="005F4A4E" w:rsidP="005F4A4E">
      <w:pPr>
        <w:spacing w:after="240"/>
        <w:jc w:val="both"/>
        <w:rPr>
          <w:rFonts w:ascii="Arial" w:hAnsi="Arial" w:cs="Arial"/>
        </w:rPr>
      </w:pPr>
      <w:r>
        <w:rPr>
          <w:rFonts w:ascii="Arial" w:hAnsi="Arial" w:cs="Arial"/>
          <w:b/>
          <w:bCs/>
        </w:rPr>
        <w:br w:type="page"/>
      </w:r>
      <w:r>
        <w:rPr>
          <w:rFonts w:ascii="Arial" w:hAnsi="Arial" w:cs="Arial"/>
          <w:b/>
          <w:bCs/>
        </w:rPr>
        <w:lastRenderedPageBreak/>
        <w:t>7. Spełnienie relacji z art. 243 ustawy o finansach publicznych</w:t>
      </w:r>
    </w:p>
    <w:p w:rsidR="005F4A4E" w:rsidRDefault="005F4A4E" w:rsidP="005F4A4E">
      <w:pPr>
        <w:spacing w:after="240"/>
        <w:jc w:val="both"/>
        <w:rPr>
          <w:rFonts w:ascii="Arial" w:hAnsi="Arial" w:cs="Arial"/>
          <w:sz w:val="22"/>
          <w:szCs w:val="22"/>
        </w:rPr>
      </w:pPr>
      <w:r>
        <w:rPr>
          <w:rFonts w:ascii="Arial" w:hAnsi="Arial" w:cs="Arial"/>
          <w:sz w:val="22"/>
          <w:szCs w:val="22"/>
        </w:rPr>
        <w:t>W 2022 roku indywidualny wskaźnik zadłużenia Gminy Rogoźno został spełniony. Relacja, o której mowa w art. 243 ust. 1 ustawy z dnia 27 sierpnia 2009 r. o finansach publicznych, zachowana została z zapasem 7,14 </w:t>
      </w:r>
      <w:proofErr w:type="spellStart"/>
      <w:r>
        <w:rPr>
          <w:rFonts w:ascii="Arial" w:hAnsi="Arial" w:cs="Arial"/>
          <w:sz w:val="22"/>
          <w:szCs w:val="22"/>
        </w:rPr>
        <w:t>p.p</w:t>
      </w:r>
      <w:proofErr w:type="spellEnd"/>
      <w:r>
        <w:rPr>
          <w:rFonts w:ascii="Arial" w:hAnsi="Arial" w:cs="Arial"/>
          <w:sz w:val="22"/>
          <w:szCs w:val="22"/>
        </w:rPr>
        <w:t>.</w:t>
      </w:r>
    </w:p>
    <w:p w:rsidR="005F4A4E" w:rsidRDefault="005F4A4E" w:rsidP="005F4A4E">
      <w:pPr>
        <w:spacing w:after="240"/>
        <w:jc w:val="both"/>
        <w:rPr>
          <w:rFonts w:ascii="Arial" w:hAnsi="Arial" w:cs="Arial"/>
          <w:sz w:val="22"/>
          <w:szCs w:val="22"/>
        </w:rPr>
      </w:pPr>
      <w:r>
        <w:rPr>
          <w:rFonts w:ascii="Arial" w:hAnsi="Arial" w:cs="Arial"/>
          <w:sz w:val="22"/>
          <w:szCs w:val="22"/>
        </w:rPr>
        <w:t>Wykonanie poszczególnych pozycji wg załącznika nr 1 do WPF obrazuje tabela nr 1 do informacji półrocznej o kształtowaniu się Wieloletniej Prognozy Finansowej Gminy Rogoźno na lata 2022-2037.</w:t>
      </w:r>
    </w:p>
    <w:p w:rsidR="005F4A4E" w:rsidRDefault="005F4A4E" w:rsidP="005F4A4E">
      <w:pPr>
        <w:spacing w:after="240"/>
        <w:jc w:val="both"/>
        <w:rPr>
          <w:rFonts w:ascii="Arial" w:hAnsi="Arial" w:cs="Arial"/>
        </w:rPr>
      </w:pPr>
      <w:r>
        <w:rPr>
          <w:rFonts w:ascii="Arial" w:hAnsi="Arial" w:cs="Arial"/>
          <w:b/>
          <w:bCs/>
        </w:rPr>
        <w:t>8. Stopień zaawansowania realizacji programów wieloletnich</w:t>
      </w:r>
    </w:p>
    <w:p w:rsidR="005F4A4E" w:rsidRDefault="005F4A4E" w:rsidP="005F4A4E">
      <w:pPr>
        <w:spacing w:after="240"/>
        <w:jc w:val="both"/>
        <w:rPr>
          <w:rFonts w:ascii="Arial" w:hAnsi="Arial" w:cs="Arial"/>
          <w:sz w:val="22"/>
          <w:szCs w:val="22"/>
        </w:rPr>
      </w:pPr>
      <w:r>
        <w:rPr>
          <w:rFonts w:ascii="Arial" w:hAnsi="Arial" w:cs="Arial"/>
          <w:sz w:val="22"/>
          <w:szCs w:val="22"/>
        </w:rPr>
        <w:t>Stopień zaawansowania realizacji programów wieloletnich obrazuje tabela nr 2 do informacji półrocznej o kształtowaniu się Wieloletniej Prognozy Finansowej Gminy Rogoźno na lata 2022-2037.</w:t>
      </w:r>
    </w:p>
    <w:p w:rsidR="005F4A4E" w:rsidRDefault="005F4A4E" w:rsidP="005F4A4E">
      <w:pPr>
        <w:spacing w:after="240"/>
        <w:jc w:val="both"/>
        <w:rPr>
          <w:rFonts w:ascii="Arial" w:hAnsi="Arial" w:cs="Arial"/>
          <w:sz w:val="22"/>
          <w:szCs w:val="22"/>
        </w:rPr>
      </w:pPr>
    </w:p>
    <w:p w:rsidR="005F4A4E" w:rsidRDefault="005F4A4E" w:rsidP="005F4A4E">
      <w:pPr>
        <w:pStyle w:val="Legenda"/>
        <w:keepNext/>
        <w:spacing w:after="240"/>
        <w:rPr>
          <w:rFonts w:ascii="Arial" w:hAnsi="Arial" w:cs="Arial"/>
          <w:i/>
          <w:iCs/>
          <w:sz w:val="18"/>
          <w:szCs w:val="18"/>
        </w:rPr>
      </w:pPr>
      <w:r w:rsidRPr="0078310D">
        <w:rPr>
          <w:rFonts w:ascii="Arial" w:hAnsi="Arial" w:cs="Arial"/>
          <w:i/>
          <w:iCs/>
          <w:sz w:val="18"/>
          <w:szCs w:val="18"/>
        </w:rPr>
        <w:t xml:space="preserve">Tabela </w:t>
      </w:r>
      <w:r w:rsidRPr="0078310D">
        <w:rPr>
          <w:rFonts w:ascii="Arial" w:hAnsi="Arial" w:cs="Arial"/>
          <w:i/>
          <w:iCs/>
          <w:sz w:val="18"/>
          <w:szCs w:val="18"/>
        </w:rPr>
        <w:fldChar w:fldCharType="begin"/>
      </w:r>
      <w:r w:rsidRPr="0078310D">
        <w:rPr>
          <w:rFonts w:ascii="Arial" w:hAnsi="Arial" w:cs="Arial"/>
          <w:i/>
          <w:iCs/>
          <w:sz w:val="18"/>
          <w:szCs w:val="18"/>
        </w:rPr>
        <w:instrText xml:space="preserve"> SEQ Tabela \* ARABIC </w:instrText>
      </w:r>
      <w:r w:rsidRPr="0078310D">
        <w:rPr>
          <w:rFonts w:ascii="Arial" w:hAnsi="Arial" w:cs="Arial"/>
          <w:i/>
          <w:iCs/>
          <w:sz w:val="18"/>
          <w:szCs w:val="18"/>
        </w:rPr>
        <w:fldChar w:fldCharType="separate"/>
      </w:r>
      <w:r w:rsidR="005269BA">
        <w:rPr>
          <w:rFonts w:ascii="Arial" w:hAnsi="Arial" w:cs="Arial"/>
          <w:i/>
          <w:iCs/>
          <w:noProof/>
          <w:sz w:val="18"/>
          <w:szCs w:val="18"/>
        </w:rPr>
        <w:t>1</w:t>
      </w:r>
      <w:r w:rsidRPr="0078310D">
        <w:rPr>
          <w:rFonts w:ascii="Arial" w:hAnsi="Arial" w:cs="Arial"/>
          <w:i/>
          <w:iCs/>
          <w:sz w:val="18"/>
          <w:szCs w:val="18"/>
        </w:rPr>
        <w:fldChar w:fldCharType="end"/>
      </w:r>
      <w:r w:rsidRPr="0078310D">
        <w:rPr>
          <w:rFonts w:ascii="Arial" w:hAnsi="Arial" w:cs="Arial"/>
          <w:i/>
          <w:iCs/>
          <w:sz w:val="18"/>
          <w:szCs w:val="18"/>
        </w:rPr>
        <w:t xml:space="preserve">. Załącznik nr 1 do informacji o kształtowaniu się Wieloletniej Prognozy Finansowej </w:t>
      </w:r>
      <w:r>
        <w:rPr>
          <w:rFonts w:ascii="Arial" w:hAnsi="Arial" w:cs="Arial"/>
          <w:i/>
          <w:iCs/>
          <w:sz w:val="18"/>
          <w:szCs w:val="18"/>
        </w:rPr>
        <w:t xml:space="preserve">Gminy Rogoźno </w:t>
      </w:r>
      <w:r w:rsidRPr="0078310D">
        <w:rPr>
          <w:rFonts w:ascii="Arial" w:hAnsi="Arial" w:cs="Arial"/>
          <w:i/>
          <w:iCs/>
          <w:sz w:val="18"/>
          <w:szCs w:val="18"/>
        </w:rPr>
        <w:t>za pierwsze półrocze 2022 r.</w:t>
      </w:r>
    </w:p>
    <w:tbl>
      <w:tblPr>
        <w:tblW w:w="5000" w:type="pct"/>
        <w:tblCellMar>
          <w:left w:w="70" w:type="dxa"/>
          <w:right w:w="70" w:type="dxa"/>
        </w:tblCellMar>
        <w:tblLook w:val="04A0" w:firstRow="1" w:lastRow="0" w:firstColumn="1" w:lastColumn="0" w:noHBand="0" w:noVBand="1"/>
      </w:tblPr>
      <w:tblGrid>
        <w:gridCol w:w="852"/>
        <w:gridCol w:w="2680"/>
        <w:gridCol w:w="1164"/>
        <w:gridCol w:w="1253"/>
        <w:gridCol w:w="1253"/>
        <w:gridCol w:w="1164"/>
        <w:gridCol w:w="986"/>
      </w:tblGrid>
      <w:tr w:rsidR="005F4A4E" w:rsidRPr="0067515C" w:rsidTr="007C1E47">
        <w:trPr>
          <w:cantSplit/>
          <w:trHeight w:val="227"/>
          <w:tblHeader/>
        </w:trPr>
        <w:tc>
          <w:tcPr>
            <w:tcW w:w="456"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Lp.</w:t>
            </w:r>
          </w:p>
        </w:tc>
        <w:tc>
          <w:tcPr>
            <w:tcW w:w="1433"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suppressAutoHyphens/>
              <w:jc w:val="center"/>
              <w:rPr>
                <w:rFonts w:ascii="Arial" w:hAnsi="Arial" w:cs="Arial"/>
                <w:b/>
                <w:bCs/>
                <w:sz w:val="16"/>
                <w:szCs w:val="16"/>
              </w:rPr>
            </w:pPr>
            <w:r w:rsidRPr="0067515C">
              <w:rPr>
                <w:rFonts w:ascii="Arial" w:hAnsi="Arial" w:cs="Arial"/>
                <w:b/>
                <w:bCs/>
                <w:sz w:val="16"/>
                <w:szCs w:val="16"/>
              </w:rPr>
              <w:t>Wyszczególnienie</w:t>
            </w:r>
          </w:p>
        </w:tc>
        <w:tc>
          <w:tcPr>
            <w:tcW w:w="622"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Plan 2022 – UCHWAŁA WPF</w:t>
            </w:r>
          </w:p>
        </w:tc>
        <w:tc>
          <w:tcPr>
            <w:tcW w:w="670"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Plan 2022 – ZMIANA WPF PÓŁROCZE</w:t>
            </w:r>
          </w:p>
        </w:tc>
        <w:tc>
          <w:tcPr>
            <w:tcW w:w="670"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Plan wg stanu budżetu na dzień 30.06.2022</w:t>
            </w:r>
          </w:p>
        </w:tc>
        <w:tc>
          <w:tcPr>
            <w:tcW w:w="622"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 xml:space="preserve">Wykonanie </w:t>
            </w:r>
            <w:r>
              <w:rPr>
                <w:rFonts w:ascii="Arial" w:hAnsi="Arial" w:cs="Arial"/>
                <w:b/>
                <w:bCs/>
                <w:sz w:val="16"/>
                <w:szCs w:val="16"/>
              </w:rPr>
              <w:br/>
            </w:r>
            <w:r w:rsidRPr="0067515C">
              <w:rPr>
                <w:rFonts w:ascii="Arial" w:hAnsi="Arial" w:cs="Arial"/>
                <w:b/>
                <w:bCs/>
                <w:sz w:val="16"/>
                <w:szCs w:val="16"/>
              </w:rPr>
              <w:t>I półrocze 2022</w:t>
            </w:r>
          </w:p>
        </w:tc>
        <w:tc>
          <w:tcPr>
            <w:tcW w:w="527"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Wykonanie planu (względem planu na I półrocze 2022)</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Dochody ogółem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77 514 739,66</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96 331 328,82</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96 331 328,82</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57 069 937,62</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59,24%</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Dochody bieżące, z tego:</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75 823 051,31</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85 544 266,55</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85 544 266,55</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53 200 332,81</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62,19%</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dochody z tytułu udziału we wpływach z podatku dochodowego od osób fizycznych</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13 032 462,00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13 032 462,00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13 032 462,00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6 516 234,00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1.1.2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dochody z tytułu udziału we wpływach z podatku dochodowego od osób prawnych</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1 356 591,00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1 356 591,00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1 356 591,00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678 294,00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1.1.3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z subwencji ogólnej</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21 627 580,00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22 461 546,00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22 461 546,00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12 954 455,00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57,67%</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1.1.4</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z tytułu dotacji i środków przeznaczonych na cele bieżące</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17 436 003,39</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25 263 524,46</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25 263 524,46</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20 109 971,20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79,60%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1.1.5</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pozostałe dochody bieżące, w tym:</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22 370 414,92</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23 430 143,09</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23 430 143,09</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12 941 378,61</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55,23%</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1.1.5.1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z podatku od nieruchomości</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12 075 190,00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12 075 190,00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12 075 190,00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6 199 432,16</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51,34%</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1.2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Dochody majątkowe,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1 691 688,35</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10 787 062,27</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10 787 062,27</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3 869 604,81</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35,87%</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1.2.1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ze sprzedaży majątku</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1 646 688,35</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2 622 982,29</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2 622 982,29</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2 606 214,74</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99,36%</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1.2.2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z tytułu dotacji oraz środków przeznaczonych na inwestycje</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8 119 079,98</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8 119 079,98</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1 234 711,00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15,21%</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Wydatki ogółem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77 964 191,22</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100 335 067,79</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100 335 067,79</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52 444 735,96</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52,27%</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2.1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Wydatki bieżące,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75 822 051,25</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86 347 844,01</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86 347 844,01</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51 537 406,40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59,69%</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2.1.1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na wynagrodzenia i składki od nich naliczane</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31 150 735,51</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32 357 334,84</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32 357 334,84</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17 609 966,60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54,42%</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2.1.2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z tytułu poręczeń i gwarancji,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2.1.2.1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gwarancje i poręczenia podlegające wyłączeniu z limitu spłaty zobowiązań, o którym mowa w art. 243 ustawy</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2.1.3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na obsługę długu,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449 158,00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749 158,00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749 158,00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390 608,59</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52,14%</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lastRenderedPageBreak/>
              <w:t>2.1.3.1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7E6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2.1.3.2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odsetki i dyskonto podlegające wyłączeniu z limitu spłaty zobowiązań, o którym mowa w art. 243 ustawy, z tytułu zobowiązań zaciągniętych na wkład krajowy</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7E6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2.1.3.3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pozostałe odsetki i dyskonto podlegające wyłączeniu z limitu spłaty zobowiązań, o którym mowa w art. 243 ustawy</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7E6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2.2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Wydatki majątkowe,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2 142 139,97</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13 987 223,78</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13 987 223,78</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907 329,56</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6,49%</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2.2.1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Inwestycje i zakupy inwestycyjne, o których mowa w art. 236 ust. 4 pkt 1 ustawy, w tym:</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2 142 139,97</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13 987 223,78</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13 987 223,78</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907 329,56</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6,49%</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2.2.1.1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o charakterze dotacyjnym na inwestycje i zakupy inwestycyjne</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150 000,00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285 000,00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285 000,00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123 000,00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43,16%</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Wynik budżetu</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-449 451,56</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-4 003 738,97</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-4 003 738,97</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4 625 201,66</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Pr>
                <w:rFonts w:ascii="Arial" w:hAnsi="Arial" w:cs="Arial"/>
                <w:b/>
                <w:bCs/>
                <w:sz w:val="16"/>
                <w:szCs w:val="16"/>
              </w:rPr>
              <w:t>x</w:t>
            </w:r>
            <w:r w:rsidRPr="0067515C">
              <w:rPr>
                <w:rFonts w:ascii="Arial" w:hAnsi="Arial" w:cs="Arial"/>
                <w:b/>
                <w:bCs/>
                <w:sz w:val="16"/>
                <w:szCs w:val="16"/>
              </w:rPr>
              <w:t> </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3.1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Kwota prognozowanej nadwyżki budżetu przeznaczana na spłatę kredytów, pożyczek i wykup papierów wartościowych</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400 000,00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Pr>
                <w:rFonts w:ascii="Arial" w:hAnsi="Arial" w:cs="Arial"/>
                <w:sz w:val="16"/>
                <w:szCs w:val="16"/>
              </w:rPr>
              <w:t>x</w:t>
            </w:r>
            <w:r w:rsidRPr="0067515C">
              <w:rPr>
                <w:rFonts w:ascii="Arial" w:hAnsi="Arial" w:cs="Arial"/>
                <w:sz w:val="16"/>
                <w:szCs w:val="16"/>
              </w:rPr>
              <w:t> </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4</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Przychody budżetu</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2 666 251,56</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6 220 538,97</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6 220 538,97</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7 793 716,43</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125,29%</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4.1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Kredyty, pożyczki, emisja papierów wartościowych,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1 766 251,56</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3 123 452,59</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3 123 452,59</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4.1.1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na pokrycie deficytu budżetu</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906 652,59</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906 652,59</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4.2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Nadwyżka budżetowa z lat ubiegłych, w tym:</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900 000,00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1 527 485,98</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1 527 485,98</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1 527 485,98</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100,00%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4.2.1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na pokrycie deficytu budżetu</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449 451,56</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1 527 485,98</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1 527 485,98</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4.3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Wolne środki, o których mowa w art. 217 ust. 2 pkt 6 ustawy, w tym:</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1 569 600,40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1 569 600,40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6 266 230,45</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399,22%</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4.3.1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na pokrycie deficytu budżetu</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1 569 600,40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1 569 600,40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4.4</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Spłaty udzielonych pożyczek w latach ubiegłych, w tym:</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4.4.1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na pokrycie deficytu budżetu</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4.5</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Inne przychody niezwiązane z zaciągnięciem długu, w tym:</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4.5.1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na pokrycie deficytu budżetu</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5</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Rozchody budżetu</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2 216 800,00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2 216 800,00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2 216 800,00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400 000,00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18,04%</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5.1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Spłaty rat kapitałowych kredytów i pożyczek oraz wykup papierów wartościowych,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2 216 800,00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2 216 800,00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2 216 800,00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400 000,00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18,04%</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5.1.1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 xml:space="preserve">łączna kwota przypadających na dany rok kwot ustawowych </w:t>
            </w:r>
            <w:proofErr w:type="spellStart"/>
            <w:r w:rsidRPr="0067515C">
              <w:rPr>
                <w:rFonts w:ascii="Arial" w:hAnsi="Arial" w:cs="Arial"/>
                <w:sz w:val="16"/>
                <w:szCs w:val="16"/>
              </w:rPr>
              <w:t>wyłączeń</w:t>
            </w:r>
            <w:proofErr w:type="spellEnd"/>
            <w:r w:rsidRPr="0067515C">
              <w:rPr>
                <w:rFonts w:ascii="Arial" w:hAnsi="Arial" w:cs="Arial"/>
                <w:sz w:val="16"/>
                <w:szCs w:val="16"/>
              </w:rPr>
              <w:t xml:space="preserve"> z limitu spłaty zobowiązań,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7E6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5.1.1.1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 xml:space="preserve">kwota przypadających na dany rok kwot </w:t>
            </w:r>
            <w:proofErr w:type="spellStart"/>
            <w:r w:rsidRPr="0067515C">
              <w:rPr>
                <w:rFonts w:ascii="Arial" w:hAnsi="Arial" w:cs="Arial"/>
                <w:sz w:val="16"/>
                <w:szCs w:val="16"/>
              </w:rPr>
              <w:t>wyłączeń</w:t>
            </w:r>
            <w:proofErr w:type="spellEnd"/>
            <w:r w:rsidRPr="0067515C">
              <w:rPr>
                <w:rFonts w:ascii="Arial" w:hAnsi="Arial" w:cs="Arial"/>
                <w:sz w:val="16"/>
                <w:szCs w:val="16"/>
              </w:rPr>
              <w:t xml:space="preserve"> określonych w art. 243 ust. 3 ustawy</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7E6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5.1.1.2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 xml:space="preserve">kwota przypadających na dany rok kwot </w:t>
            </w:r>
            <w:proofErr w:type="spellStart"/>
            <w:r w:rsidRPr="0067515C">
              <w:rPr>
                <w:rFonts w:ascii="Arial" w:hAnsi="Arial" w:cs="Arial"/>
                <w:sz w:val="16"/>
                <w:szCs w:val="16"/>
              </w:rPr>
              <w:t>wyłączeń</w:t>
            </w:r>
            <w:proofErr w:type="spellEnd"/>
            <w:r w:rsidRPr="0067515C">
              <w:rPr>
                <w:rFonts w:ascii="Arial" w:hAnsi="Arial" w:cs="Arial"/>
                <w:sz w:val="16"/>
                <w:szCs w:val="16"/>
              </w:rPr>
              <w:t xml:space="preserve"> określonych w art. 243 ust. 3a ustawy</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7E6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lastRenderedPageBreak/>
              <w:t>5.1.1.3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 xml:space="preserve">kwota </w:t>
            </w:r>
            <w:proofErr w:type="spellStart"/>
            <w:r w:rsidRPr="0067515C">
              <w:rPr>
                <w:rFonts w:ascii="Arial" w:hAnsi="Arial" w:cs="Arial"/>
                <w:sz w:val="16"/>
                <w:szCs w:val="16"/>
              </w:rPr>
              <w:t>wyłączeń</w:t>
            </w:r>
            <w:proofErr w:type="spellEnd"/>
            <w:r w:rsidRPr="0067515C">
              <w:rPr>
                <w:rFonts w:ascii="Arial" w:hAnsi="Arial" w:cs="Arial"/>
                <w:sz w:val="16"/>
                <w:szCs w:val="16"/>
              </w:rPr>
              <w:t xml:space="preserve"> z tytułu wcześniejszej spłaty zobowiązań, określonych w art. 243 ust. 3b ustawy, z tego:</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5.1.1.3.1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środkami nowego zobowiązania</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5.1.1.3.2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wolnymi środkami, o których mowa w art. 217 ust. 2 pkt 6 ustawy</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5.1.1.3.3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innymi środkami</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5.1.1.4</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 xml:space="preserve">kwota przypadających na dany rok kwot pozostałych ustawowych </w:t>
            </w:r>
            <w:proofErr w:type="spellStart"/>
            <w:r w:rsidRPr="0067515C">
              <w:rPr>
                <w:rFonts w:ascii="Arial" w:hAnsi="Arial" w:cs="Arial"/>
                <w:sz w:val="16"/>
                <w:szCs w:val="16"/>
              </w:rPr>
              <w:t>wyłączeń</w:t>
            </w:r>
            <w:proofErr w:type="spellEnd"/>
            <w:r w:rsidRPr="0067515C">
              <w:rPr>
                <w:rFonts w:ascii="Arial" w:hAnsi="Arial" w:cs="Arial"/>
                <w:sz w:val="16"/>
                <w:szCs w:val="16"/>
              </w:rPr>
              <w:t xml:space="preserve"> z limitu spłaty zobowiązań</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5.2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Inne rozchody, niezwiązane ze spłatą długu</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6</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Kwota długu,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23 162 372,18</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24 519 223,94</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24 519 223,94</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23 520 588,71</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95,93%</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6.1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kwota długu, którego planowana spłata dokona się z wydatków</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308 017,36</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7</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Relacja zrównoważenia wydatków bieżących, o której mowa w art. 242 ustawy</w:t>
            </w:r>
          </w:p>
        </w:tc>
        <w:tc>
          <w:tcPr>
            <w:tcW w:w="3111" w:type="pct"/>
            <w:gridSpan w:val="5"/>
            <w:tcBorders>
              <w:top w:val="single" w:sz="4" w:space="0" w:color="auto"/>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 </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7.1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Różnica między dochodami bieżącymi a wydatkami bieżącymi</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1 000,06</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-803 577,46</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-803 577,46</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1 662 926,41</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 </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7.2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Różnica między dochodami bieżącymi, skorygowanymi o środki, a wydatkami bieżącymi</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901 000,06</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2 293 508,92</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2 293 508,92</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9 456 642,84</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412,32%</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8</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Wskaźnik spłaty zobowiązań</w:t>
            </w:r>
          </w:p>
        </w:tc>
        <w:tc>
          <w:tcPr>
            <w:tcW w:w="3111" w:type="pct"/>
            <w:gridSpan w:val="5"/>
            <w:tcBorders>
              <w:top w:val="single" w:sz="4" w:space="0" w:color="auto"/>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 </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8.1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 xml:space="preserve">Relacja określona po lewej stronie nierówności we wzorze, o którym mowa w art. 243 ust. 1 ustawy (po uwzględnieniu zobowiązań związku współtworzonego przez jednostkę samorządu terytorialnego oraz po uwzględnieniu ustawowych </w:t>
            </w:r>
            <w:proofErr w:type="spellStart"/>
            <w:r w:rsidRPr="0067515C">
              <w:rPr>
                <w:rFonts w:ascii="Arial" w:hAnsi="Arial" w:cs="Arial"/>
                <w:sz w:val="16"/>
                <w:szCs w:val="16"/>
              </w:rPr>
              <w:t>wyłączeń</w:t>
            </w:r>
            <w:proofErr w:type="spellEnd"/>
            <w:r w:rsidRPr="0067515C">
              <w:rPr>
                <w:rFonts w:ascii="Arial" w:hAnsi="Arial" w:cs="Arial"/>
                <w:sz w:val="16"/>
                <w:szCs w:val="16"/>
              </w:rPr>
              <w:t xml:space="preserve"> przypadających na dany rok)</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4,57%</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4,92%</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4,92%</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2,39%</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x</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8.2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Relacja określona po prawej stronie nierówności we wzorze, o którym mowa w art. 243 ust. 1 ustawy, ustalona dla danego roku (w</w:t>
            </w:r>
            <w:r>
              <w:rPr>
                <w:rFonts w:ascii="Arial" w:hAnsi="Arial" w:cs="Arial"/>
                <w:sz w:val="16"/>
                <w:szCs w:val="16"/>
              </w:rPr>
              <w:t>s</w:t>
            </w:r>
            <w:r w:rsidRPr="0067515C">
              <w:rPr>
                <w:rFonts w:ascii="Arial" w:hAnsi="Arial" w:cs="Arial"/>
                <w:sz w:val="16"/>
                <w:szCs w:val="16"/>
              </w:rPr>
              <w:t>kaźnik jednoroczny)</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1,11%</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0,04%</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0,04%</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6,21%</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x</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8.3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 xml:space="preserve">Dopuszczalny limit spłaty zobowiązań określony po prawej stronie nierówności we wzorze, o którym mowa w art. 243 ustawy, po uwzględnieniu ustawowych </w:t>
            </w:r>
            <w:proofErr w:type="spellStart"/>
            <w:r w:rsidRPr="0067515C">
              <w:rPr>
                <w:rFonts w:ascii="Arial" w:hAnsi="Arial" w:cs="Arial"/>
                <w:sz w:val="16"/>
                <w:szCs w:val="16"/>
              </w:rPr>
              <w:t>wyłączeń</w:t>
            </w:r>
            <w:proofErr w:type="spellEnd"/>
            <w:r w:rsidRPr="0067515C">
              <w:rPr>
                <w:rFonts w:ascii="Arial" w:hAnsi="Arial" w:cs="Arial"/>
                <w:sz w:val="16"/>
                <w:szCs w:val="16"/>
              </w:rPr>
              <w:t>, obliczony w oparciu o plan 3. kwartału roku poprzedzającego pierwszy rok prognozy (wskaźnik ustalony w oparciu o średnią arytmetyczną z poprzednich lat)</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8,28%</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8,28%</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8,28%</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8,28%</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x</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8.3.1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 xml:space="preserve">Dopuszczalny limit spłaty zobowiązań określony po prawej stronie nierówności we wzorze, o którym mowa w art. 243 ustawy, po uwzględnieniu ustawowych </w:t>
            </w:r>
            <w:proofErr w:type="spellStart"/>
            <w:r w:rsidRPr="0067515C">
              <w:rPr>
                <w:rFonts w:ascii="Arial" w:hAnsi="Arial" w:cs="Arial"/>
                <w:sz w:val="16"/>
                <w:szCs w:val="16"/>
              </w:rPr>
              <w:t>wyłączeń</w:t>
            </w:r>
            <w:proofErr w:type="spellEnd"/>
            <w:r w:rsidRPr="0067515C">
              <w:rPr>
                <w:rFonts w:ascii="Arial" w:hAnsi="Arial" w:cs="Arial"/>
                <w:sz w:val="16"/>
                <w:szCs w:val="16"/>
              </w:rPr>
              <w:t>, obliczony w oparciu o wykonanie roku poprzedzającego pierwszy rok prognozy (wskaźnik ustalony w oparciu o średnią arytmetyczną z poprzednich lat)</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8,27%</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9,53%</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9,53%</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9,53%</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x</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lastRenderedPageBreak/>
              <w:t>8.4</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67515C">
              <w:rPr>
                <w:rFonts w:ascii="Arial" w:hAnsi="Arial" w:cs="Arial"/>
                <w:b/>
                <w:bCs/>
                <w:sz w:val="16"/>
                <w:szCs w:val="16"/>
              </w:rPr>
              <w:t>wyłączeń</w:t>
            </w:r>
            <w:proofErr w:type="spellEnd"/>
            <w:r w:rsidRPr="0067515C">
              <w:rPr>
                <w:rFonts w:ascii="Arial" w:hAnsi="Arial" w:cs="Arial"/>
                <w:b/>
                <w:bCs/>
                <w:sz w:val="16"/>
                <w:szCs w:val="16"/>
              </w:rPr>
              <w:t>, obliczonego w oparciu o plan 3 kwartałów roku poprzedzającego rok budżetowy</w:t>
            </w:r>
          </w:p>
        </w:tc>
        <w:tc>
          <w:tcPr>
            <w:tcW w:w="622" w:type="pct"/>
            <w:tcBorders>
              <w:top w:val="nil"/>
              <w:left w:val="nil"/>
              <w:bottom w:val="single" w:sz="4" w:space="0" w:color="auto"/>
              <w:right w:val="single" w:sz="4" w:space="0" w:color="auto"/>
            </w:tcBorders>
            <w:shd w:val="clear" w:color="000000" w:fill="ADFF2F"/>
            <w:noWrap/>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Tak</w:t>
            </w:r>
          </w:p>
        </w:tc>
        <w:tc>
          <w:tcPr>
            <w:tcW w:w="670" w:type="pct"/>
            <w:tcBorders>
              <w:top w:val="nil"/>
              <w:left w:val="nil"/>
              <w:bottom w:val="single" w:sz="4" w:space="0" w:color="auto"/>
              <w:right w:val="single" w:sz="4" w:space="0" w:color="auto"/>
            </w:tcBorders>
            <w:shd w:val="clear" w:color="000000" w:fill="ADFF2F"/>
            <w:noWrap/>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Tak</w:t>
            </w:r>
          </w:p>
        </w:tc>
        <w:tc>
          <w:tcPr>
            <w:tcW w:w="670" w:type="pct"/>
            <w:tcBorders>
              <w:top w:val="nil"/>
              <w:left w:val="nil"/>
              <w:bottom w:val="single" w:sz="4" w:space="0" w:color="auto"/>
              <w:right w:val="single" w:sz="4" w:space="0" w:color="auto"/>
            </w:tcBorders>
            <w:shd w:val="clear" w:color="000000" w:fill="ADFF2F"/>
            <w:noWrap/>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Tak</w:t>
            </w:r>
          </w:p>
        </w:tc>
        <w:tc>
          <w:tcPr>
            <w:tcW w:w="622" w:type="pct"/>
            <w:tcBorders>
              <w:top w:val="nil"/>
              <w:left w:val="nil"/>
              <w:bottom w:val="single" w:sz="4" w:space="0" w:color="auto"/>
              <w:right w:val="single" w:sz="4" w:space="0" w:color="auto"/>
            </w:tcBorders>
            <w:shd w:val="clear" w:color="000000" w:fill="ADFF2F"/>
            <w:noWrap/>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Tak</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center"/>
              <w:rPr>
                <w:rFonts w:ascii="Arial" w:hAnsi="Arial" w:cs="Arial"/>
                <w:b/>
                <w:bCs/>
                <w:sz w:val="16"/>
                <w:szCs w:val="16"/>
              </w:rPr>
            </w:pPr>
            <w:r w:rsidRPr="0067515C">
              <w:rPr>
                <w:rFonts w:ascii="Arial" w:hAnsi="Arial" w:cs="Arial"/>
                <w:b/>
                <w:bCs/>
                <w:sz w:val="16"/>
                <w:szCs w:val="16"/>
              </w:rPr>
              <w:t>x</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8.4.1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67515C">
              <w:rPr>
                <w:rFonts w:ascii="Arial" w:hAnsi="Arial" w:cs="Arial"/>
                <w:sz w:val="16"/>
                <w:szCs w:val="16"/>
              </w:rPr>
              <w:t>wyłączeń</w:t>
            </w:r>
            <w:proofErr w:type="spellEnd"/>
            <w:r w:rsidRPr="0067515C">
              <w:rPr>
                <w:rFonts w:ascii="Arial" w:hAnsi="Arial" w:cs="Arial"/>
                <w:sz w:val="16"/>
                <w:szCs w:val="16"/>
              </w:rPr>
              <w:t>, obliczonego w oparciu o wykonanie roku poprzedzającego rok budżetowy</w:t>
            </w:r>
          </w:p>
        </w:tc>
        <w:tc>
          <w:tcPr>
            <w:tcW w:w="622" w:type="pct"/>
            <w:tcBorders>
              <w:top w:val="nil"/>
              <w:left w:val="nil"/>
              <w:bottom w:val="single" w:sz="4" w:space="0" w:color="auto"/>
              <w:right w:val="single" w:sz="4" w:space="0" w:color="auto"/>
            </w:tcBorders>
            <w:shd w:val="clear" w:color="000000" w:fill="ADFF2F"/>
            <w:noWrap/>
            <w:vAlign w:val="center"/>
            <w:hideMark/>
          </w:tcPr>
          <w:p w:rsidR="005F4A4E" w:rsidRPr="0067515C" w:rsidRDefault="005F4A4E" w:rsidP="007C1E47">
            <w:pPr>
              <w:jc w:val="center"/>
              <w:rPr>
                <w:rFonts w:ascii="Arial" w:hAnsi="Arial" w:cs="Arial"/>
                <w:sz w:val="16"/>
                <w:szCs w:val="16"/>
              </w:rPr>
            </w:pPr>
            <w:r w:rsidRPr="0067515C">
              <w:rPr>
                <w:rFonts w:ascii="Arial" w:hAnsi="Arial" w:cs="Arial"/>
                <w:sz w:val="16"/>
                <w:szCs w:val="16"/>
              </w:rPr>
              <w:t>Tak</w:t>
            </w:r>
          </w:p>
        </w:tc>
        <w:tc>
          <w:tcPr>
            <w:tcW w:w="670" w:type="pct"/>
            <w:tcBorders>
              <w:top w:val="nil"/>
              <w:left w:val="nil"/>
              <w:bottom w:val="single" w:sz="4" w:space="0" w:color="auto"/>
              <w:right w:val="single" w:sz="4" w:space="0" w:color="auto"/>
            </w:tcBorders>
            <w:shd w:val="clear" w:color="000000" w:fill="ADFF2F"/>
            <w:noWrap/>
            <w:vAlign w:val="center"/>
            <w:hideMark/>
          </w:tcPr>
          <w:p w:rsidR="005F4A4E" w:rsidRPr="0067515C" w:rsidRDefault="005F4A4E" w:rsidP="007C1E47">
            <w:pPr>
              <w:jc w:val="center"/>
              <w:rPr>
                <w:rFonts w:ascii="Arial" w:hAnsi="Arial" w:cs="Arial"/>
                <w:sz w:val="16"/>
                <w:szCs w:val="16"/>
              </w:rPr>
            </w:pPr>
            <w:r w:rsidRPr="0067515C">
              <w:rPr>
                <w:rFonts w:ascii="Arial" w:hAnsi="Arial" w:cs="Arial"/>
                <w:sz w:val="16"/>
                <w:szCs w:val="16"/>
              </w:rPr>
              <w:t>Tak</w:t>
            </w:r>
          </w:p>
        </w:tc>
        <w:tc>
          <w:tcPr>
            <w:tcW w:w="670" w:type="pct"/>
            <w:tcBorders>
              <w:top w:val="nil"/>
              <w:left w:val="nil"/>
              <w:bottom w:val="single" w:sz="4" w:space="0" w:color="auto"/>
              <w:right w:val="single" w:sz="4" w:space="0" w:color="auto"/>
            </w:tcBorders>
            <w:shd w:val="clear" w:color="000000" w:fill="ADFF2F"/>
            <w:noWrap/>
            <w:vAlign w:val="center"/>
            <w:hideMark/>
          </w:tcPr>
          <w:p w:rsidR="005F4A4E" w:rsidRPr="0067515C" w:rsidRDefault="005F4A4E" w:rsidP="007C1E47">
            <w:pPr>
              <w:jc w:val="center"/>
              <w:rPr>
                <w:rFonts w:ascii="Arial" w:hAnsi="Arial" w:cs="Arial"/>
                <w:sz w:val="16"/>
                <w:szCs w:val="16"/>
              </w:rPr>
            </w:pPr>
            <w:r w:rsidRPr="0067515C">
              <w:rPr>
                <w:rFonts w:ascii="Arial" w:hAnsi="Arial" w:cs="Arial"/>
                <w:sz w:val="16"/>
                <w:szCs w:val="16"/>
              </w:rPr>
              <w:t>Tak</w:t>
            </w:r>
          </w:p>
        </w:tc>
        <w:tc>
          <w:tcPr>
            <w:tcW w:w="622" w:type="pct"/>
            <w:tcBorders>
              <w:top w:val="nil"/>
              <w:left w:val="nil"/>
              <w:bottom w:val="single" w:sz="4" w:space="0" w:color="auto"/>
              <w:right w:val="single" w:sz="4" w:space="0" w:color="auto"/>
            </w:tcBorders>
            <w:shd w:val="clear" w:color="000000" w:fill="ADFF2F"/>
            <w:noWrap/>
            <w:vAlign w:val="center"/>
            <w:hideMark/>
          </w:tcPr>
          <w:p w:rsidR="005F4A4E" w:rsidRPr="0067515C" w:rsidRDefault="005F4A4E" w:rsidP="007C1E47">
            <w:pPr>
              <w:jc w:val="center"/>
              <w:rPr>
                <w:rFonts w:ascii="Arial" w:hAnsi="Arial" w:cs="Arial"/>
                <w:sz w:val="16"/>
                <w:szCs w:val="16"/>
              </w:rPr>
            </w:pPr>
            <w:r w:rsidRPr="0067515C">
              <w:rPr>
                <w:rFonts w:ascii="Arial" w:hAnsi="Arial" w:cs="Arial"/>
                <w:sz w:val="16"/>
                <w:szCs w:val="16"/>
              </w:rPr>
              <w:t>Tak</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center"/>
              <w:rPr>
                <w:rFonts w:ascii="Arial" w:hAnsi="Arial" w:cs="Arial"/>
                <w:sz w:val="16"/>
                <w:szCs w:val="16"/>
              </w:rPr>
            </w:pPr>
            <w:r w:rsidRPr="0067515C">
              <w:rPr>
                <w:rFonts w:ascii="Arial" w:hAnsi="Arial" w:cs="Arial"/>
                <w:sz w:val="16"/>
                <w:szCs w:val="16"/>
              </w:rPr>
              <w:t>x</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9</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Finansowanie programów, projektów lub zadań realizowanych z udziałem środków, o których mowa w art. 5 ust. 1 pkt 2 i 3 ustawy</w:t>
            </w:r>
          </w:p>
        </w:tc>
        <w:tc>
          <w:tcPr>
            <w:tcW w:w="3111" w:type="pct"/>
            <w:gridSpan w:val="5"/>
            <w:tcBorders>
              <w:top w:val="single" w:sz="4" w:space="0" w:color="auto"/>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 </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Dochody bieżące na programy, projekty lub zadania finansowe z udziałem środków, o których mowa w art. 5 ust. 1 pkt 2 i 3 ustawy</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717 297,39</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901 297,39</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901 297,39</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184 000,00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20,42%</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Dotacje i środki o charakterze bieżącym na realizację programu, projektu lub zadania finansowanego z udziałem środków, o których mowa w art. 5 ust. 1 pkt 2 ustawy, w tym:</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717 297,39</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901 297,39</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901 297,39</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184 000,00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20,42%</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9.1.1.1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środki określone w art. 5 ust. 1 pkt 2 ustawy</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717 297,39</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901 297,39</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901 297,39</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184 000,00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20,42%</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Dochody majątkowe na programy, projekty lub zadania finansowe z udziałem środków, o których mowa w art. 5 ust. 1 pkt 2 i 3 ustawy</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2 286 480,58</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2 286 480,58</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1 230 160,00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53,80%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9.2.1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Dochody majątkowe na programy, projekty lub zadania finansowe z udziałem środków, o których mowa w art. 5 ust. 1 pkt 2 ustawy, w tym:</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2 286 480,58</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2 286 480,58</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1 230 160,00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53,80%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9.2.1.1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środki określone w art. 5 ust. 1 pkt 2 ustawy</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2 128 032,45</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2 128 032,45</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1 230 160,00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57,81%</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bieżące na programy, projekty lub zadania finansowe z udziałem środków, o których mowa w art. 5 ust. 1 pkt 2 i 3 ustawy</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917 936,67</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982 205,80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982 205,80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185 583,38</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18,89%</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9.3.1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bieżące na programy, projekty lub zadania finansowe z udziałem środków, o których mowa w art. 5 ust. 1 pkt 2 ustawy, w tym:</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917 936,67</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982 205,80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982 205,80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185 583,38</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18,89%</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9.3.1.1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finansowane środkami określonymi w art. 5 ust. 1 pkt 2 ustawy</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597 566,52</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781 566,52</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781 566,52</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140 817,18</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18,02%</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lastRenderedPageBreak/>
              <w:t>9.4</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majątkowe na programy, projekty lub zadania finansowe z udziałem środków, o których mowa w art. 5 ust. 1 pkt 2 i 3 ustawy</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2 739 189,98</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2 739 189,98</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184,50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0,01%</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9.4.1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majątkowe na programy, projekty lub zadania finansowe z udziałem środków, o których mowa w art. 5 ust. 1 pkt 2 ustawy, w tym:</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2 739 189,98</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2 739 189,98</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184,50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0,01%</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9.4.1.1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finansowane środkami określonymi w art. 5 ust. 1 pkt 2 ustawy</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2 128 032,45</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2 128 032,45</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6"/>
                <w:szCs w:val="16"/>
              </w:rPr>
            </w:pPr>
            <w:r w:rsidRPr="0067515C">
              <w:rPr>
                <w:rFonts w:ascii="Arial" w:hAnsi="Arial" w:cs="Arial"/>
                <w:b/>
                <w:bCs/>
                <w:sz w:val="16"/>
                <w:szCs w:val="16"/>
              </w:rPr>
              <w:t>10</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b/>
                <w:bCs/>
                <w:sz w:val="16"/>
                <w:szCs w:val="16"/>
              </w:rPr>
            </w:pPr>
            <w:r w:rsidRPr="0067515C">
              <w:rPr>
                <w:rFonts w:ascii="Arial" w:hAnsi="Arial" w:cs="Arial"/>
                <w:b/>
                <w:bCs/>
                <w:sz w:val="16"/>
                <w:szCs w:val="16"/>
              </w:rPr>
              <w:t>Informacje uzupełniające o wybranych kategoriach finansowych</w:t>
            </w:r>
          </w:p>
        </w:tc>
        <w:tc>
          <w:tcPr>
            <w:tcW w:w="3111" w:type="pct"/>
            <w:gridSpan w:val="5"/>
            <w:tcBorders>
              <w:top w:val="single" w:sz="4" w:space="0" w:color="auto"/>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6"/>
                <w:szCs w:val="16"/>
              </w:rPr>
            </w:pPr>
            <w:r w:rsidRPr="0067515C">
              <w:rPr>
                <w:rFonts w:ascii="Arial" w:hAnsi="Arial" w:cs="Arial"/>
                <w:b/>
                <w:bCs/>
                <w:sz w:val="16"/>
                <w:szCs w:val="16"/>
              </w:rPr>
              <w:t> </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objęte limitem, o którym mowa w art. 226 ust. 3 pkt 4 ustawy, z tego:</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1 830 108,89</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3 808 161,89</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3 808 161,89</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707D8A" w:rsidRDefault="00707D8A" w:rsidP="007C1E47">
            <w:pPr>
              <w:jc w:val="right"/>
              <w:rPr>
                <w:rFonts w:ascii="Arial" w:hAnsi="Arial" w:cs="Arial"/>
                <w:sz w:val="16"/>
                <w:szCs w:val="16"/>
              </w:rPr>
            </w:pPr>
            <w:r w:rsidRPr="00707D8A">
              <w:rPr>
                <w:rFonts w:ascii="Arial" w:hAnsi="Arial" w:cs="Arial"/>
                <w:sz w:val="16"/>
                <w:szCs w:val="16"/>
              </w:rPr>
              <w:t>400 610,58</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707D8A" w:rsidRDefault="00707D8A" w:rsidP="007C1E47">
            <w:pPr>
              <w:jc w:val="right"/>
              <w:rPr>
                <w:rFonts w:ascii="Arial" w:hAnsi="Arial" w:cs="Arial"/>
                <w:sz w:val="16"/>
                <w:szCs w:val="16"/>
              </w:rPr>
            </w:pPr>
            <w:r w:rsidRPr="00707D8A">
              <w:rPr>
                <w:rFonts w:ascii="Arial" w:hAnsi="Arial" w:cs="Arial"/>
                <w:sz w:val="16"/>
                <w:szCs w:val="16"/>
              </w:rPr>
              <w:t>10,52</w:t>
            </w:r>
            <w:r w:rsidR="005F4A4E" w:rsidRPr="00707D8A">
              <w:rPr>
                <w:rFonts w:ascii="Arial" w:hAnsi="Arial" w:cs="Arial"/>
                <w:sz w:val="16"/>
                <w:szCs w:val="16"/>
              </w:rPr>
              <w:t>%</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bieżące</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1 173 860,54</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1 054 129,67</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1 054 129,67</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707D8A" w:rsidRDefault="00707D8A" w:rsidP="007C1E47">
            <w:pPr>
              <w:jc w:val="right"/>
              <w:rPr>
                <w:rFonts w:ascii="Arial" w:hAnsi="Arial" w:cs="Arial"/>
                <w:sz w:val="16"/>
                <w:szCs w:val="16"/>
              </w:rPr>
            </w:pPr>
            <w:r w:rsidRPr="00707D8A">
              <w:rPr>
                <w:rFonts w:ascii="Arial" w:hAnsi="Arial" w:cs="Arial"/>
                <w:sz w:val="16"/>
                <w:szCs w:val="16"/>
              </w:rPr>
              <w:t>313 545,32</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707D8A" w:rsidRDefault="00707D8A" w:rsidP="007C1E47">
            <w:pPr>
              <w:jc w:val="right"/>
              <w:rPr>
                <w:rFonts w:ascii="Arial" w:hAnsi="Arial" w:cs="Arial"/>
                <w:sz w:val="16"/>
                <w:szCs w:val="16"/>
              </w:rPr>
            </w:pPr>
            <w:r w:rsidRPr="00707D8A">
              <w:rPr>
                <w:rFonts w:ascii="Arial" w:hAnsi="Arial" w:cs="Arial"/>
                <w:sz w:val="16"/>
                <w:szCs w:val="16"/>
              </w:rPr>
              <w:t>29,74%</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10.1.2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majątkowe</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656 248,35</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2 754 032,22</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2 754 032,22</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707D8A" w:rsidRDefault="00707D8A" w:rsidP="007C1E47">
            <w:pPr>
              <w:jc w:val="right"/>
              <w:rPr>
                <w:rFonts w:ascii="Arial" w:hAnsi="Arial" w:cs="Arial"/>
                <w:sz w:val="16"/>
                <w:szCs w:val="16"/>
              </w:rPr>
            </w:pPr>
            <w:r w:rsidRPr="00707D8A">
              <w:rPr>
                <w:rFonts w:ascii="Arial" w:hAnsi="Arial" w:cs="Arial"/>
                <w:sz w:val="16"/>
                <w:szCs w:val="16"/>
              </w:rPr>
              <w:t>87 065,26</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707D8A" w:rsidRDefault="00707D8A" w:rsidP="007C1E47">
            <w:pPr>
              <w:jc w:val="right"/>
              <w:rPr>
                <w:rFonts w:ascii="Arial" w:hAnsi="Arial" w:cs="Arial"/>
                <w:sz w:val="16"/>
                <w:szCs w:val="16"/>
              </w:rPr>
            </w:pPr>
            <w:r w:rsidRPr="00707D8A">
              <w:rPr>
                <w:rFonts w:ascii="Arial" w:hAnsi="Arial" w:cs="Arial"/>
                <w:sz w:val="16"/>
                <w:szCs w:val="16"/>
              </w:rPr>
              <w:t>3,16%</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bieżące na pokrycie ujemnego wyniku finansowego samodzielnego publicznego zakładu opieki zdrowotnej</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na spłatę zobowiązań przejmowanych w związku z likwidacją lub przekształceniem samodzielnego publicznego zakładu opieki zdrowotnej</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10.4</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Kwota zobowiązań związku współtworzonego przez jednostkę samorządu terytorialnego przypadających do spłaty w danym roku budżetowym, podlegająca doliczeniu zgodnie z art. 244 ustawy</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10.5</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Kwota zobowiązań wynikających z przejęcia przez jednostkę samorządu terytorialnego zobowiązań po likwidowanych i przekształcanych samorządowych osobach prawnych</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10.6</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Spłaty, o których mowa w poz. 5.1., wynikające wyłącznie z tytułu zobowiązań już zaciągniętych</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2 216 800,00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2 216 800,00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2 216 800,00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400 000,00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18,04%</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10.7</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zmniejszające dług,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103 979,83</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103 979,83</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103 979,83</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100,00%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10.7.1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spłata zobowiązań wymagalnych z lat poprzednich, innych niż w poz. 10.7.3</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103 979,83</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103 979,83</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103 979,83</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100,00%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10.7.2</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spłata zobowiązań zaliczanych do tytułu dłużnego – kredyt i pożyczka, w tym:</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10.7.2.1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zobowiązań zaciągniętych po dniu 1 stycznia 2019 r.</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10.7.2.1.1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dokonywana w formie wydatku bieżącego</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10.7.3</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wypłaty z tytułu wymagalnych poręczeń i gwarancji</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10.8</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 xml:space="preserve">Kwota wzrostu(+)/spadku(−) kwoty długu wynikająca z operacji </w:t>
            </w:r>
            <w:proofErr w:type="spellStart"/>
            <w:r w:rsidRPr="0067515C">
              <w:rPr>
                <w:rFonts w:ascii="Arial" w:hAnsi="Arial" w:cs="Arial"/>
                <w:sz w:val="16"/>
                <w:szCs w:val="16"/>
              </w:rPr>
              <w:t>niekasowych</w:t>
            </w:r>
            <w:proofErr w:type="spellEnd"/>
            <w:r w:rsidRPr="0067515C">
              <w:rPr>
                <w:rFonts w:ascii="Arial" w:hAnsi="Arial" w:cs="Arial"/>
                <w:sz w:val="16"/>
                <w:szCs w:val="16"/>
              </w:rPr>
              <w:t xml:space="preserve"> (m.in. umorzenia, różnice kursowe)</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lastRenderedPageBreak/>
              <w:t>10.9</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Wcześniejsza spłata zobowiązań, wyłączona z limitu spłaty zobowiązań, dokonywana w formie wydatków budżetowych</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10.10</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Wykup papierów wartościowych, spłaty rat kredytów i pożyczek wraz z należnymi odsetkami i dyskontem, odpowiednio emitowanych lub zaciągniętych do równowartości kwoty ubytku w wykonanych dochodach jednostki samorządu terytorialnego będącego skutkiem wystąpienia COVID-19</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r w:rsidR="005F4A4E" w:rsidRPr="0067515C" w:rsidTr="007C1E47">
        <w:trPr>
          <w:cantSplit/>
          <w:trHeight w:val="227"/>
        </w:trPr>
        <w:tc>
          <w:tcPr>
            <w:tcW w:w="456"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6"/>
                <w:szCs w:val="16"/>
              </w:rPr>
            </w:pPr>
            <w:r w:rsidRPr="0067515C">
              <w:rPr>
                <w:rFonts w:ascii="Arial" w:hAnsi="Arial" w:cs="Arial"/>
                <w:sz w:val="16"/>
                <w:szCs w:val="16"/>
              </w:rPr>
              <w:t>10.11</w:t>
            </w:r>
          </w:p>
        </w:tc>
        <w:tc>
          <w:tcPr>
            <w:tcW w:w="1433"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suppressAutoHyphens/>
              <w:rPr>
                <w:rFonts w:ascii="Arial" w:hAnsi="Arial" w:cs="Arial"/>
                <w:sz w:val="16"/>
                <w:szCs w:val="16"/>
              </w:rPr>
            </w:pPr>
            <w:r w:rsidRPr="0067515C">
              <w:rPr>
                <w:rFonts w:ascii="Arial" w:hAnsi="Arial" w:cs="Arial"/>
                <w:sz w:val="16"/>
                <w:szCs w:val="16"/>
              </w:rPr>
              <w:t>Wydatki bieżące podlegające ustawowemu wyłączeniu z limitu spłaty zobowiązań</w:t>
            </w:r>
          </w:p>
        </w:tc>
        <w:tc>
          <w:tcPr>
            <w:tcW w:w="622"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7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622" w:type="pct"/>
            <w:tcBorders>
              <w:top w:val="nil"/>
              <w:left w:val="nil"/>
              <w:bottom w:val="single" w:sz="4" w:space="0" w:color="auto"/>
              <w:right w:val="single" w:sz="4" w:space="0" w:color="auto"/>
            </w:tcBorders>
            <w:shd w:val="clear" w:color="auto" w:fill="auto"/>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c>
          <w:tcPr>
            <w:tcW w:w="527"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6"/>
                <w:szCs w:val="16"/>
              </w:rPr>
            </w:pPr>
            <w:r w:rsidRPr="0067515C">
              <w:rPr>
                <w:rFonts w:ascii="Arial" w:hAnsi="Arial" w:cs="Arial"/>
                <w:sz w:val="16"/>
                <w:szCs w:val="16"/>
              </w:rPr>
              <w:t>0,00%</w:t>
            </w:r>
          </w:p>
        </w:tc>
      </w:tr>
    </w:tbl>
    <w:p w:rsidR="005F4A4E" w:rsidRDefault="005F4A4E" w:rsidP="005F4A4E">
      <w:pPr>
        <w:sectPr w:rsidR="005F4A4E" w:rsidSect="002368A6">
          <w:pgSz w:w="12240" w:h="15840"/>
          <w:pgMar w:top="1134" w:right="1327" w:bottom="1134" w:left="1701" w:header="708" w:footer="708" w:gutter="0"/>
          <w:cols w:space="708"/>
          <w:noEndnote/>
          <w:docGrid w:linePitch="326"/>
        </w:sectPr>
      </w:pPr>
    </w:p>
    <w:p w:rsidR="005F4A4E" w:rsidRDefault="005F4A4E" w:rsidP="005F4A4E">
      <w:pPr>
        <w:pStyle w:val="Legenda"/>
        <w:keepNext/>
        <w:spacing w:after="240"/>
        <w:rPr>
          <w:rFonts w:ascii="Arial" w:hAnsi="Arial" w:cs="Arial"/>
          <w:i/>
          <w:iCs/>
          <w:sz w:val="18"/>
          <w:szCs w:val="18"/>
        </w:rPr>
      </w:pPr>
      <w:r w:rsidRPr="0078310D">
        <w:rPr>
          <w:rFonts w:ascii="Arial" w:hAnsi="Arial" w:cs="Arial"/>
          <w:i/>
          <w:iCs/>
          <w:sz w:val="18"/>
          <w:szCs w:val="18"/>
        </w:rPr>
        <w:lastRenderedPageBreak/>
        <w:t xml:space="preserve">Tabela </w:t>
      </w:r>
      <w:r w:rsidRPr="0078310D">
        <w:rPr>
          <w:rFonts w:ascii="Arial" w:hAnsi="Arial" w:cs="Arial"/>
          <w:i/>
          <w:iCs/>
          <w:sz w:val="18"/>
          <w:szCs w:val="18"/>
        </w:rPr>
        <w:fldChar w:fldCharType="begin"/>
      </w:r>
      <w:r w:rsidRPr="0078310D">
        <w:rPr>
          <w:rFonts w:ascii="Arial" w:hAnsi="Arial" w:cs="Arial"/>
          <w:i/>
          <w:iCs/>
          <w:sz w:val="18"/>
          <w:szCs w:val="18"/>
        </w:rPr>
        <w:instrText xml:space="preserve"> SEQ Tabela \* ARABIC </w:instrText>
      </w:r>
      <w:r w:rsidRPr="0078310D">
        <w:rPr>
          <w:rFonts w:ascii="Arial" w:hAnsi="Arial" w:cs="Arial"/>
          <w:i/>
          <w:iCs/>
          <w:sz w:val="18"/>
          <w:szCs w:val="18"/>
        </w:rPr>
        <w:fldChar w:fldCharType="separate"/>
      </w:r>
      <w:r w:rsidR="005269BA">
        <w:rPr>
          <w:rFonts w:ascii="Arial" w:hAnsi="Arial" w:cs="Arial"/>
          <w:i/>
          <w:iCs/>
          <w:noProof/>
          <w:sz w:val="18"/>
          <w:szCs w:val="18"/>
        </w:rPr>
        <w:t>2</w:t>
      </w:r>
      <w:r w:rsidRPr="0078310D">
        <w:rPr>
          <w:rFonts w:ascii="Arial" w:hAnsi="Arial" w:cs="Arial"/>
          <w:i/>
          <w:iCs/>
          <w:sz w:val="18"/>
          <w:szCs w:val="18"/>
        </w:rPr>
        <w:fldChar w:fldCharType="end"/>
      </w:r>
      <w:r w:rsidRPr="0078310D">
        <w:rPr>
          <w:rFonts w:ascii="Arial" w:hAnsi="Arial" w:cs="Arial"/>
          <w:i/>
          <w:iCs/>
          <w:sz w:val="18"/>
          <w:szCs w:val="18"/>
        </w:rPr>
        <w:t xml:space="preserve">. Załącznik nr </w:t>
      </w:r>
      <w:r>
        <w:rPr>
          <w:rFonts w:ascii="Arial" w:hAnsi="Arial" w:cs="Arial"/>
          <w:i/>
          <w:iCs/>
          <w:sz w:val="18"/>
          <w:szCs w:val="18"/>
        </w:rPr>
        <w:t>2</w:t>
      </w:r>
      <w:r w:rsidRPr="0078310D">
        <w:rPr>
          <w:rFonts w:ascii="Arial" w:hAnsi="Arial" w:cs="Arial"/>
          <w:i/>
          <w:iCs/>
          <w:sz w:val="18"/>
          <w:szCs w:val="18"/>
        </w:rPr>
        <w:t xml:space="preserve"> do informacji o kształtowaniu się Wieloletniej Prognozy Finansowej </w:t>
      </w:r>
      <w:r>
        <w:rPr>
          <w:rFonts w:ascii="Arial" w:hAnsi="Arial" w:cs="Arial"/>
          <w:i/>
          <w:iCs/>
          <w:sz w:val="18"/>
          <w:szCs w:val="18"/>
        </w:rPr>
        <w:t>Gminy Rogoźno</w:t>
      </w:r>
      <w:r w:rsidRPr="0078310D">
        <w:rPr>
          <w:rFonts w:ascii="Arial" w:hAnsi="Arial" w:cs="Arial"/>
          <w:i/>
          <w:iCs/>
          <w:sz w:val="18"/>
          <w:szCs w:val="18"/>
        </w:rPr>
        <w:t xml:space="preserve"> za pierwsze półrocze 2022 r.</w:t>
      </w:r>
    </w:p>
    <w:tbl>
      <w:tblPr>
        <w:tblW w:w="5116" w:type="pct"/>
        <w:tblInd w:w="-214" w:type="dxa"/>
        <w:tblCellMar>
          <w:left w:w="70" w:type="dxa"/>
          <w:right w:w="70" w:type="dxa"/>
        </w:tblCellMar>
        <w:tblLook w:val="04A0" w:firstRow="1" w:lastRow="0" w:firstColumn="1" w:lastColumn="0" w:noHBand="0" w:noVBand="1"/>
      </w:tblPr>
      <w:tblGrid>
        <w:gridCol w:w="782"/>
        <w:gridCol w:w="2038"/>
        <w:gridCol w:w="833"/>
        <w:gridCol w:w="452"/>
        <w:gridCol w:w="452"/>
        <w:gridCol w:w="726"/>
        <w:gridCol w:w="764"/>
        <w:gridCol w:w="841"/>
        <w:gridCol w:w="880"/>
        <w:gridCol w:w="732"/>
        <w:gridCol w:w="926"/>
      </w:tblGrid>
      <w:tr w:rsidR="005F4A4E" w:rsidRPr="0067515C" w:rsidTr="005269BA">
        <w:trPr>
          <w:cantSplit/>
          <w:trHeight w:val="227"/>
          <w:tblHeader/>
        </w:trPr>
        <w:tc>
          <w:tcPr>
            <w:tcW w:w="415"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Lp.</w:t>
            </w:r>
          </w:p>
        </w:tc>
        <w:tc>
          <w:tcPr>
            <w:tcW w:w="1081"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Nazwa i cel</w:t>
            </w:r>
          </w:p>
        </w:tc>
        <w:tc>
          <w:tcPr>
            <w:tcW w:w="442"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Jednostka</w:t>
            </w:r>
          </w:p>
        </w:tc>
        <w:tc>
          <w:tcPr>
            <w:tcW w:w="240"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Od</w:t>
            </w:r>
          </w:p>
        </w:tc>
        <w:tc>
          <w:tcPr>
            <w:tcW w:w="240"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Do</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Nakłady</w:t>
            </w:r>
          </w:p>
        </w:tc>
        <w:tc>
          <w:tcPr>
            <w:tcW w:w="405"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 xml:space="preserve">Plan na </w:t>
            </w:r>
            <w:r>
              <w:rPr>
                <w:rFonts w:ascii="Arial" w:hAnsi="Arial" w:cs="Arial"/>
                <w:b/>
                <w:bCs/>
                <w:sz w:val="14"/>
                <w:szCs w:val="14"/>
              </w:rPr>
              <w:br/>
            </w:r>
            <w:r w:rsidRPr="0067515C">
              <w:rPr>
                <w:rFonts w:ascii="Arial" w:hAnsi="Arial" w:cs="Arial"/>
                <w:b/>
                <w:bCs/>
                <w:sz w:val="14"/>
                <w:szCs w:val="14"/>
              </w:rPr>
              <w:t>1.01.2022 r.</w:t>
            </w:r>
          </w:p>
        </w:tc>
        <w:tc>
          <w:tcPr>
            <w:tcW w:w="446"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Plan po zmianach na 30.06.2022 r.</w:t>
            </w:r>
          </w:p>
        </w:tc>
        <w:tc>
          <w:tcPr>
            <w:tcW w:w="467"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Wykonanie</w:t>
            </w:r>
          </w:p>
        </w:tc>
        <w:tc>
          <w:tcPr>
            <w:tcW w:w="388"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 xml:space="preserve">Stopień realizacji w I półroczu </w:t>
            </w:r>
            <w:r>
              <w:rPr>
                <w:rFonts w:ascii="Arial" w:hAnsi="Arial" w:cs="Arial"/>
                <w:b/>
                <w:bCs/>
                <w:sz w:val="14"/>
                <w:szCs w:val="14"/>
              </w:rPr>
              <w:br/>
            </w:r>
            <w:r w:rsidRPr="0067515C">
              <w:rPr>
                <w:rFonts w:ascii="Arial" w:hAnsi="Arial" w:cs="Arial"/>
                <w:b/>
                <w:bCs/>
                <w:sz w:val="14"/>
                <w:szCs w:val="14"/>
              </w:rPr>
              <w:t>2022 r.</w:t>
            </w:r>
          </w:p>
        </w:tc>
        <w:tc>
          <w:tcPr>
            <w:tcW w:w="491" w:type="pct"/>
            <w:tcBorders>
              <w:top w:val="single" w:sz="4" w:space="0" w:color="auto"/>
              <w:left w:val="nil"/>
              <w:bottom w:val="single" w:sz="4" w:space="0" w:color="auto"/>
              <w:right w:val="single" w:sz="4" w:space="0" w:color="auto"/>
            </w:tcBorders>
            <w:shd w:val="clear" w:color="000000" w:fill="C0C0C0"/>
            <w:vAlign w:val="center"/>
            <w:hideMark/>
          </w:tcPr>
          <w:p w:rsidR="005F4A4E" w:rsidRPr="0067515C" w:rsidRDefault="005F4A4E" w:rsidP="007C1E47">
            <w:pPr>
              <w:jc w:val="center"/>
              <w:rPr>
                <w:rFonts w:ascii="Arial" w:hAnsi="Arial" w:cs="Arial"/>
                <w:b/>
                <w:bCs/>
                <w:sz w:val="14"/>
                <w:szCs w:val="14"/>
              </w:rPr>
            </w:pPr>
            <w:r w:rsidRPr="0067515C">
              <w:rPr>
                <w:rFonts w:ascii="Arial" w:hAnsi="Arial" w:cs="Arial"/>
                <w:b/>
                <w:bCs/>
                <w:sz w:val="14"/>
                <w:szCs w:val="14"/>
              </w:rPr>
              <w:t>Limit zobowiązań</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Przedsięwzięcia razem</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14 485 838,73</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1 830 108,89</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3 808 161,89</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F4650D" w:rsidRDefault="00F4650D" w:rsidP="007C1E47">
            <w:pPr>
              <w:jc w:val="right"/>
              <w:rPr>
                <w:rFonts w:ascii="Arial" w:hAnsi="Arial" w:cs="Arial"/>
                <w:b/>
                <w:bCs/>
                <w:sz w:val="14"/>
                <w:szCs w:val="14"/>
              </w:rPr>
            </w:pPr>
            <w:r w:rsidRPr="00F4650D">
              <w:rPr>
                <w:rFonts w:ascii="Arial" w:hAnsi="Arial" w:cs="Arial"/>
                <w:b/>
                <w:bCs/>
                <w:sz w:val="14"/>
                <w:szCs w:val="14"/>
              </w:rPr>
              <w:t>400 610,58</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F4650D" w:rsidRDefault="00F4650D" w:rsidP="007C1E47">
            <w:pPr>
              <w:jc w:val="right"/>
              <w:rPr>
                <w:rFonts w:ascii="Arial" w:hAnsi="Arial" w:cs="Arial"/>
                <w:b/>
                <w:bCs/>
                <w:sz w:val="14"/>
                <w:szCs w:val="14"/>
              </w:rPr>
            </w:pPr>
            <w:r w:rsidRPr="00F4650D">
              <w:rPr>
                <w:rFonts w:ascii="Arial" w:hAnsi="Arial" w:cs="Arial"/>
                <w:b/>
                <w:bCs/>
                <w:sz w:val="14"/>
                <w:szCs w:val="14"/>
              </w:rPr>
              <w:t>10,52%</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12 919 353,23</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1.a</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wydatki bieżące</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2 831 264,44</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1 173 860,54</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1 054 129,67</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F4650D" w:rsidRDefault="00F4650D" w:rsidP="007C1E47">
            <w:pPr>
              <w:jc w:val="right"/>
              <w:rPr>
                <w:rFonts w:ascii="Arial" w:hAnsi="Arial" w:cs="Arial"/>
                <w:b/>
                <w:bCs/>
                <w:sz w:val="14"/>
                <w:szCs w:val="14"/>
              </w:rPr>
            </w:pPr>
            <w:r w:rsidRPr="00F4650D">
              <w:rPr>
                <w:rFonts w:ascii="Arial" w:hAnsi="Arial" w:cs="Arial"/>
                <w:b/>
                <w:bCs/>
                <w:sz w:val="14"/>
                <w:szCs w:val="14"/>
              </w:rPr>
              <w:t>313 545,32</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F4650D" w:rsidRDefault="00F4650D" w:rsidP="007C1E47">
            <w:pPr>
              <w:jc w:val="right"/>
              <w:rPr>
                <w:rFonts w:ascii="Arial" w:hAnsi="Arial" w:cs="Arial"/>
                <w:b/>
                <w:bCs/>
                <w:sz w:val="14"/>
                <w:szCs w:val="14"/>
              </w:rPr>
            </w:pPr>
            <w:r w:rsidRPr="00F4650D">
              <w:rPr>
                <w:rFonts w:ascii="Arial" w:hAnsi="Arial" w:cs="Arial"/>
                <w:b/>
                <w:bCs/>
                <w:sz w:val="14"/>
                <w:szCs w:val="14"/>
              </w:rPr>
              <w:t>29,74</w:t>
            </w:r>
            <w:r w:rsidR="005F4A4E" w:rsidRPr="00F4650D">
              <w:rPr>
                <w:rFonts w:ascii="Arial" w:hAnsi="Arial" w:cs="Arial"/>
                <w:b/>
                <w:bCs/>
                <w:sz w:val="14"/>
                <w:szCs w:val="14"/>
              </w:rPr>
              <w:t>%</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2 046 127,29</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1.b</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wydatki majątkowe</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11 654 574,29</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656 248,35</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2 754 032,22</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F4650D" w:rsidRDefault="00F4650D" w:rsidP="007C1E47">
            <w:pPr>
              <w:jc w:val="right"/>
              <w:rPr>
                <w:rFonts w:ascii="Arial" w:hAnsi="Arial" w:cs="Arial"/>
                <w:b/>
                <w:bCs/>
                <w:sz w:val="14"/>
                <w:szCs w:val="14"/>
              </w:rPr>
            </w:pPr>
            <w:r w:rsidRPr="00F4650D">
              <w:rPr>
                <w:rFonts w:ascii="Arial" w:hAnsi="Arial" w:cs="Arial"/>
                <w:b/>
                <w:bCs/>
                <w:sz w:val="14"/>
                <w:szCs w:val="14"/>
              </w:rPr>
              <w:t>87 065,26</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F4650D" w:rsidRDefault="00F4650D" w:rsidP="007C1E47">
            <w:pPr>
              <w:jc w:val="right"/>
              <w:rPr>
                <w:rFonts w:ascii="Arial" w:hAnsi="Arial" w:cs="Arial"/>
                <w:b/>
                <w:bCs/>
                <w:sz w:val="14"/>
                <w:szCs w:val="14"/>
              </w:rPr>
            </w:pPr>
            <w:r w:rsidRPr="00F4650D">
              <w:rPr>
                <w:rFonts w:ascii="Arial" w:hAnsi="Arial" w:cs="Arial"/>
                <w:b/>
                <w:bCs/>
                <w:sz w:val="14"/>
                <w:szCs w:val="14"/>
              </w:rPr>
              <w:t>3,16</w:t>
            </w:r>
            <w:r w:rsidR="005F4A4E" w:rsidRPr="00F4650D">
              <w:rPr>
                <w:rFonts w:ascii="Arial" w:hAnsi="Arial" w:cs="Arial"/>
                <w:b/>
                <w:bCs/>
                <w:sz w:val="14"/>
                <w:szCs w:val="14"/>
              </w:rPr>
              <w:t>%</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10 873 225,94</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1.1</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Wydatki na programy, projekty lub zadania związane z programami realizowanymi z udziałem środków, o których mowa w art.5 ust.1 pkt 2 i 3 ustawy z dnia 27 sierpnia 2009.r. o finansach publicznych (</w:t>
            </w:r>
            <w:proofErr w:type="spellStart"/>
            <w:r w:rsidRPr="0067515C">
              <w:rPr>
                <w:rFonts w:ascii="Arial" w:hAnsi="Arial" w:cs="Arial"/>
                <w:b/>
                <w:bCs/>
                <w:sz w:val="14"/>
                <w:szCs w:val="14"/>
              </w:rPr>
              <w:t>Dz.U.Nr</w:t>
            </w:r>
            <w:proofErr w:type="spellEnd"/>
            <w:r w:rsidRPr="0067515C">
              <w:rPr>
                <w:rFonts w:ascii="Arial" w:hAnsi="Arial" w:cs="Arial"/>
                <w:b/>
                <w:bCs/>
                <w:sz w:val="14"/>
                <w:szCs w:val="14"/>
              </w:rPr>
              <w:t xml:space="preserve"> 157, poz.1240,z późn.zm.):</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11 387 964,37</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917 936,67</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2 307 235,78</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67515C" w:rsidRDefault="001404A2" w:rsidP="007C1E47">
            <w:pPr>
              <w:jc w:val="right"/>
              <w:rPr>
                <w:rFonts w:ascii="Arial" w:hAnsi="Arial" w:cs="Arial"/>
                <w:b/>
                <w:bCs/>
                <w:sz w:val="14"/>
                <w:szCs w:val="14"/>
              </w:rPr>
            </w:pPr>
            <w:r>
              <w:rPr>
                <w:rFonts w:ascii="Arial" w:hAnsi="Arial" w:cs="Arial"/>
                <w:b/>
                <w:bCs/>
                <w:sz w:val="14"/>
                <w:szCs w:val="14"/>
              </w:rPr>
              <w:t>185 583,38</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1404A2" w:rsidP="007C1E47">
            <w:pPr>
              <w:jc w:val="right"/>
              <w:rPr>
                <w:rFonts w:ascii="Arial" w:hAnsi="Arial" w:cs="Arial"/>
                <w:b/>
                <w:bCs/>
                <w:sz w:val="14"/>
                <w:szCs w:val="14"/>
              </w:rPr>
            </w:pPr>
            <w:r>
              <w:rPr>
                <w:rFonts w:ascii="Arial" w:hAnsi="Arial" w:cs="Arial"/>
                <w:b/>
                <w:bCs/>
                <w:sz w:val="14"/>
                <w:szCs w:val="14"/>
              </w:rPr>
              <w:t>8,04</w:t>
            </w:r>
            <w:r w:rsidR="005F4A4E" w:rsidRPr="0067515C">
              <w:rPr>
                <w:rFonts w:ascii="Arial" w:hAnsi="Arial" w:cs="Arial"/>
                <w:b/>
                <w:bCs/>
                <w:sz w:val="14"/>
                <w:szCs w:val="14"/>
              </w:rPr>
              <w:t>%</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11 028 726,84</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1.1.1</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wydatki bieżące</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1 610 986,78</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917 936,67</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798 205,80</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67515C" w:rsidRDefault="001404A2" w:rsidP="007C1E47">
            <w:pPr>
              <w:jc w:val="right"/>
              <w:rPr>
                <w:rFonts w:ascii="Arial" w:hAnsi="Arial" w:cs="Arial"/>
                <w:b/>
                <w:bCs/>
                <w:sz w:val="14"/>
                <w:szCs w:val="14"/>
              </w:rPr>
            </w:pPr>
            <w:r>
              <w:rPr>
                <w:rFonts w:ascii="Arial" w:hAnsi="Arial" w:cs="Arial"/>
                <w:b/>
                <w:bCs/>
                <w:sz w:val="14"/>
                <w:szCs w:val="14"/>
              </w:rPr>
              <w:t>185 583,38</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1404A2" w:rsidP="007C1E47">
            <w:pPr>
              <w:jc w:val="right"/>
              <w:rPr>
                <w:rFonts w:ascii="Arial" w:hAnsi="Arial" w:cs="Arial"/>
                <w:b/>
                <w:bCs/>
                <w:sz w:val="14"/>
                <w:szCs w:val="14"/>
              </w:rPr>
            </w:pPr>
            <w:r>
              <w:rPr>
                <w:rFonts w:ascii="Arial" w:hAnsi="Arial" w:cs="Arial"/>
                <w:b/>
                <w:bCs/>
                <w:sz w:val="14"/>
                <w:szCs w:val="14"/>
              </w:rPr>
              <w:t>23,25</w:t>
            </w:r>
            <w:r w:rsidR="005F4A4E" w:rsidRPr="0067515C">
              <w:rPr>
                <w:rFonts w:ascii="Arial" w:hAnsi="Arial" w:cs="Arial"/>
                <w:b/>
                <w:bCs/>
                <w:sz w:val="14"/>
                <w:szCs w:val="14"/>
              </w:rPr>
              <w:t>%</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1 251 749,25</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1.1.1.1</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Publiczny Żłobek w Gminie Rogoźno - Opieka nad dziećmi do lat 3</w:t>
            </w:r>
          </w:p>
        </w:tc>
        <w:tc>
          <w:tcPr>
            <w:tcW w:w="442"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UM Rogoźno</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2021</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2023</w:t>
            </w:r>
          </w:p>
        </w:tc>
        <w:tc>
          <w:tcPr>
            <w:tcW w:w="38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1 610 986,78</w:t>
            </w:r>
          </w:p>
        </w:tc>
        <w:tc>
          <w:tcPr>
            <w:tcW w:w="40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917 936,67</w:t>
            </w:r>
          </w:p>
        </w:tc>
        <w:tc>
          <w:tcPr>
            <w:tcW w:w="446"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798 205,80</w:t>
            </w:r>
          </w:p>
        </w:tc>
        <w:tc>
          <w:tcPr>
            <w:tcW w:w="467" w:type="pct"/>
            <w:tcBorders>
              <w:top w:val="nil"/>
              <w:left w:val="nil"/>
              <w:bottom w:val="single" w:sz="4" w:space="0" w:color="auto"/>
              <w:right w:val="single" w:sz="4" w:space="0" w:color="auto"/>
            </w:tcBorders>
            <w:shd w:val="clear" w:color="000000" w:fill="F5F5DC"/>
            <w:noWrap/>
            <w:vAlign w:val="center"/>
            <w:hideMark/>
          </w:tcPr>
          <w:p w:rsidR="005F4A4E" w:rsidRPr="0067515C" w:rsidRDefault="001404A2" w:rsidP="007C1E47">
            <w:pPr>
              <w:jc w:val="right"/>
              <w:rPr>
                <w:rFonts w:ascii="Arial" w:hAnsi="Arial" w:cs="Arial"/>
                <w:sz w:val="14"/>
                <w:szCs w:val="14"/>
              </w:rPr>
            </w:pPr>
            <w:r>
              <w:rPr>
                <w:rFonts w:ascii="Arial" w:hAnsi="Arial" w:cs="Arial"/>
                <w:sz w:val="14"/>
                <w:szCs w:val="14"/>
              </w:rPr>
              <w:t>185 583,38</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1404A2" w:rsidP="007C1E47">
            <w:pPr>
              <w:jc w:val="right"/>
              <w:rPr>
                <w:rFonts w:ascii="Arial" w:hAnsi="Arial" w:cs="Arial"/>
                <w:sz w:val="14"/>
                <w:szCs w:val="14"/>
              </w:rPr>
            </w:pPr>
            <w:r>
              <w:rPr>
                <w:rFonts w:ascii="Arial" w:hAnsi="Arial" w:cs="Arial"/>
                <w:sz w:val="14"/>
                <w:szCs w:val="14"/>
              </w:rPr>
              <w:t>23,25</w:t>
            </w:r>
            <w:r w:rsidR="005F4A4E" w:rsidRPr="0067515C">
              <w:rPr>
                <w:rFonts w:ascii="Arial" w:hAnsi="Arial" w:cs="Arial"/>
                <w:sz w:val="14"/>
                <w:szCs w:val="14"/>
              </w:rPr>
              <w:t>%</w:t>
            </w:r>
          </w:p>
        </w:tc>
        <w:tc>
          <w:tcPr>
            <w:tcW w:w="491"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1 251 749,25</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1.1.2</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wydatki majątkowe</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9 776 977,59</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1 509 029,98</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9 776 977,59</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1.1.2.1</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Kompleksowa termomodernizacja budynków szkół podstawowych na terenie Gminy Rogoźno - Poprawa efektywności energetycznej budynków szkół.</w:t>
            </w:r>
          </w:p>
        </w:tc>
        <w:tc>
          <w:tcPr>
            <w:tcW w:w="442"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UM Rogoźno</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2022</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2024</w:t>
            </w:r>
          </w:p>
        </w:tc>
        <w:tc>
          <w:tcPr>
            <w:tcW w:w="38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9 776 977,59</w:t>
            </w:r>
          </w:p>
        </w:tc>
        <w:tc>
          <w:tcPr>
            <w:tcW w:w="40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0,00</w:t>
            </w:r>
          </w:p>
        </w:tc>
        <w:tc>
          <w:tcPr>
            <w:tcW w:w="446"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1 509 029,98</w:t>
            </w:r>
          </w:p>
        </w:tc>
        <w:tc>
          <w:tcPr>
            <w:tcW w:w="467" w:type="pct"/>
            <w:tcBorders>
              <w:top w:val="nil"/>
              <w:left w:val="nil"/>
              <w:bottom w:val="single" w:sz="4" w:space="0" w:color="auto"/>
              <w:right w:val="single" w:sz="4" w:space="0" w:color="auto"/>
            </w:tcBorders>
            <w:shd w:val="clear" w:color="000000" w:fill="F5F5DC"/>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0,00</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0,00%</w:t>
            </w:r>
          </w:p>
        </w:tc>
        <w:tc>
          <w:tcPr>
            <w:tcW w:w="491"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9 776 977,59</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1.2</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Wydatki na programy, projekty lub zadania związane z umowami partnerstwa publiczno-prywatnego:</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1.2.1</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wydatki bieżące</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1.2.2</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wydatki majątkowe</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0,00</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1.3</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Wydatki na programy, projekty lub zadania pozostałe (inne niż wymienione w pkt 1.1 i 1.2):</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3 097 874,36</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912 172,22</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1 500 926,11</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67515C" w:rsidRDefault="001404A2" w:rsidP="007C1E47">
            <w:pPr>
              <w:jc w:val="right"/>
              <w:rPr>
                <w:rFonts w:ascii="Arial" w:hAnsi="Arial" w:cs="Arial"/>
                <w:b/>
                <w:bCs/>
                <w:sz w:val="14"/>
                <w:szCs w:val="14"/>
              </w:rPr>
            </w:pPr>
            <w:r>
              <w:rPr>
                <w:rFonts w:ascii="Arial" w:hAnsi="Arial" w:cs="Arial"/>
                <w:b/>
                <w:bCs/>
                <w:sz w:val="14"/>
                <w:szCs w:val="14"/>
              </w:rPr>
              <w:t>215 027,20</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1404A2" w:rsidP="007C1E47">
            <w:pPr>
              <w:jc w:val="right"/>
              <w:rPr>
                <w:rFonts w:ascii="Arial" w:hAnsi="Arial" w:cs="Arial"/>
                <w:b/>
                <w:bCs/>
                <w:sz w:val="14"/>
                <w:szCs w:val="14"/>
              </w:rPr>
            </w:pPr>
            <w:r>
              <w:rPr>
                <w:rFonts w:ascii="Arial" w:hAnsi="Arial" w:cs="Arial"/>
                <w:b/>
                <w:bCs/>
                <w:sz w:val="14"/>
                <w:szCs w:val="14"/>
              </w:rPr>
              <w:t>14,33%</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1 890 626,39</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1.3.1</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wydatki bieżące</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1 220 277,66</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255 923,87</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255 923,87</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67515C" w:rsidRDefault="001404A2" w:rsidP="007C1E47">
            <w:pPr>
              <w:jc w:val="right"/>
              <w:rPr>
                <w:rFonts w:ascii="Arial" w:hAnsi="Arial" w:cs="Arial"/>
                <w:b/>
                <w:bCs/>
                <w:sz w:val="14"/>
                <w:szCs w:val="14"/>
              </w:rPr>
            </w:pPr>
            <w:r>
              <w:rPr>
                <w:rFonts w:ascii="Arial" w:hAnsi="Arial" w:cs="Arial"/>
                <w:b/>
                <w:bCs/>
                <w:sz w:val="14"/>
                <w:szCs w:val="14"/>
              </w:rPr>
              <w:t>127 961,94</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1404A2" w:rsidP="007C1E47">
            <w:pPr>
              <w:jc w:val="right"/>
              <w:rPr>
                <w:rFonts w:ascii="Arial" w:hAnsi="Arial" w:cs="Arial"/>
                <w:b/>
                <w:bCs/>
                <w:sz w:val="14"/>
                <w:szCs w:val="14"/>
              </w:rPr>
            </w:pPr>
            <w:r>
              <w:rPr>
                <w:rFonts w:ascii="Arial" w:hAnsi="Arial" w:cs="Arial"/>
                <w:b/>
                <w:bCs/>
                <w:sz w:val="14"/>
                <w:szCs w:val="14"/>
              </w:rPr>
              <w:t>50,00%</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794 378,04</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1.3.1.1</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Wzmocnienie wojewódzkich kolejowych przewozów - Wzmocnienie wojewódzkich kolejowych przewozów</w:t>
            </w:r>
          </w:p>
        </w:tc>
        <w:tc>
          <w:tcPr>
            <w:tcW w:w="442"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UM Rogoźno</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2020</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2024</w:t>
            </w:r>
          </w:p>
        </w:tc>
        <w:tc>
          <w:tcPr>
            <w:tcW w:w="38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1 220 277,66</w:t>
            </w:r>
          </w:p>
        </w:tc>
        <w:tc>
          <w:tcPr>
            <w:tcW w:w="40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255 923,87</w:t>
            </w:r>
          </w:p>
        </w:tc>
        <w:tc>
          <w:tcPr>
            <w:tcW w:w="446"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255 923,87</w:t>
            </w:r>
          </w:p>
        </w:tc>
        <w:tc>
          <w:tcPr>
            <w:tcW w:w="467" w:type="pct"/>
            <w:tcBorders>
              <w:top w:val="nil"/>
              <w:left w:val="nil"/>
              <w:bottom w:val="single" w:sz="4" w:space="0" w:color="auto"/>
              <w:right w:val="single" w:sz="4" w:space="0" w:color="auto"/>
            </w:tcBorders>
            <w:shd w:val="clear" w:color="000000" w:fill="F5F5DC"/>
            <w:noWrap/>
            <w:vAlign w:val="center"/>
            <w:hideMark/>
          </w:tcPr>
          <w:p w:rsidR="005F4A4E" w:rsidRPr="0067515C" w:rsidRDefault="001404A2" w:rsidP="007C1E47">
            <w:pPr>
              <w:jc w:val="right"/>
              <w:rPr>
                <w:rFonts w:ascii="Arial" w:hAnsi="Arial" w:cs="Arial"/>
                <w:sz w:val="14"/>
                <w:szCs w:val="14"/>
              </w:rPr>
            </w:pPr>
            <w:r>
              <w:rPr>
                <w:rFonts w:ascii="Arial" w:hAnsi="Arial" w:cs="Arial"/>
                <w:sz w:val="14"/>
                <w:szCs w:val="14"/>
              </w:rPr>
              <w:t>127 961,94</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1404A2" w:rsidP="007C1E47">
            <w:pPr>
              <w:jc w:val="right"/>
              <w:rPr>
                <w:rFonts w:ascii="Arial" w:hAnsi="Arial" w:cs="Arial"/>
                <w:sz w:val="14"/>
                <w:szCs w:val="14"/>
              </w:rPr>
            </w:pPr>
            <w:r>
              <w:rPr>
                <w:rFonts w:ascii="Arial" w:hAnsi="Arial" w:cs="Arial"/>
                <w:sz w:val="14"/>
                <w:szCs w:val="14"/>
              </w:rPr>
              <w:t>50</w:t>
            </w:r>
            <w:r w:rsidR="005F4A4E" w:rsidRPr="0067515C">
              <w:rPr>
                <w:rFonts w:ascii="Arial" w:hAnsi="Arial" w:cs="Arial"/>
                <w:sz w:val="14"/>
                <w:szCs w:val="14"/>
              </w:rPr>
              <w:t>,00%</w:t>
            </w:r>
          </w:p>
        </w:tc>
        <w:tc>
          <w:tcPr>
            <w:tcW w:w="491"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794 378,04</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1.3.2</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wydatki majątkowe</w:t>
            </w:r>
          </w:p>
        </w:tc>
        <w:tc>
          <w:tcPr>
            <w:tcW w:w="442"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240" w:type="pct"/>
            <w:tcBorders>
              <w:top w:val="nil"/>
              <w:left w:val="nil"/>
              <w:bottom w:val="single" w:sz="4" w:space="0" w:color="auto"/>
              <w:right w:val="single" w:sz="4" w:space="0" w:color="auto"/>
            </w:tcBorders>
            <w:shd w:val="clear" w:color="000000" w:fill="EAEAEA"/>
            <w:noWrap/>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 </w:t>
            </w:r>
          </w:p>
        </w:tc>
        <w:tc>
          <w:tcPr>
            <w:tcW w:w="38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1 877 596,70</w:t>
            </w:r>
          </w:p>
        </w:tc>
        <w:tc>
          <w:tcPr>
            <w:tcW w:w="405"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656 248,35</w:t>
            </w:r>
          </w:p>
        </w:tc>
        <w:tc>
          <w:tcPr>
            <w:tcW w:w="446"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1 245 002,24</w:t>
            </w:r>
          </w:p>
        </w:tc>
        <w:tc>
          <w:tcPr>
            <w:tcW w:w="467" w:type="pct"/>
            <w:tcBorders>
              <w:top w:val="nil"/>
              <w:left w:val="nil"/>
              <w:bottom w:val="single" w:sz="4" w:space="0" w:color="auto"/>
              <w:right w:val="single" w:sz="4" w:space="0" w:color="auto"/>
            </w:tcBorders>
            <w:shd w:val="clear" w:color="000000" w:fill="EAEAEA"/>
            <w:noWrap/>
            <w:vAlign w:val="center"/>
            <w:hideMark/>
          </w:tcPr>
          <w:p w:rsidR="005F4A4E" w:rsidRPr="0067515C" w:rsidRDefault="001404A2" w:rsidP="007C1E47">
            <w:pPr>
              <w:jc w:val="right"/>
              <w:rPr>
                <w:rFonts w:ascii="Arial" w:hAnsi="Arial" w:cs="Arial"/>
                <w:b/>
                <w:bCs/>
                <w:sz w:val="14"/>
                <w:szCs w:val="14"/>
              </w:rPr>
            </w:pPr>
            <w:r>
              <w:rPr>
                <w:rFonts w:ascii="Arial" w:hAnsi="Arial" w:cs="Arial"/>
                <w:b/>
                <w:bCs/>
                <w:sz w:val="14"/>
                <w:szCs w:val="14"/>
              </w:rPr>
              <w:t>87 065,26</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1404A2" w:rsidP="007C1E47">
            <w:pPr>
              <w:jc w:val="right"/>
              <w:rPr>
                <w:rFonts w:ascii="Arial" w:hAnsi="Arial" w:cs="Arial"/>
                <w:b/>
                <w:bCs/>
                <w:sz w:val="14"/>
                <w:szCs w:val="14"/>
              </w:rPr>
            </w:pPr>
            <w:r>
              <w:rPr>
                <w:rFonts w:ascii="Arial" w:hAnsi="Arial" w:cs="Arial"/>
                <w:b/>
                <w:bCs/>
                <w:sz w:val="14"/>
                <w:szCs w:val="14"/>
              </w:rPr>
              <w:t>6,99</w:t>
            </w:r>
            <w:r w:rsidR="005F4A4E" w:rsidRPr="0067515C">
              <w:rPr>
                <w:rFonts w:ascii="Arial" w:hAnsi="Arial" w:cs="Arial"/>
                <w:b/>
                <w:bCs/>
                <w:sz w:val="14"/>
                <w:szCs w:val="14"/>
              </w:rPr>
              <w:t>%</w:t>
            </w:r>
          </w:p>
        </w:tc>
        <w:tc>
          <w:tcPr>
            <w:tcW w:w="49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jc w:val="right"/>
              <w:rPr>
                <w:rFonts w:ascii="Arial" w:hAnsi="Arial" w:cs="Arial"/>
                <w:b/>
                <w:bCs/>
                <w:sz w:val="14"/>
                <w:szCs w:val="14"/>
              </w:rPr>
            </w:pPr>
            <w:r w:rsidRPr="0067515C">
              <w:rPr>
                <w:rFonts w:ascii="Arial" w:hAnsi="Arial" w:cs="Arial"/>
                <w:b/>
                <w:bCs/>
                <w:sz w:val="14"/>
                <w:szCs w:val="14"/>
              </w:rPr>
              <w:t>1 096 248,35</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1.3.2.1</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Modernizacja budynku Szkoły Podstawowej nr 2 im. Olimpijczyków Polskich w Rogoźnie - poprawa bezpieczeństwa uczniów SP nr 2 w Rogoźnie</w:t>
            </w:r>
          </w:p>
        </w:tc>
        <w:tc>
          <w:tcPr>
            <w:tcW w:w="442"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UM Rogoźno</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2020</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2022</w:t>
            </w:r>
          </w:p>
        </w:tc>
        <w:tc>
          <w:tcPr>
            <w:tcW w:w="38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612 496,70</w:t>
            </w:r>
          </w:p>
        </w:tc>
        <w:tc>
          <w:tcPr>
            <w:tcW w:w="40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506 248,35</w:t>
            </w:r>
          </w:p>
        </w:tc>
        <w:tc>
          <w:tcPr>
            <w:tcW w:w="446"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506 248,35</w:t>
            </w:r>
          </w:p>
        </w:tc>
        <w:tc>
          <w:tcPr>
            <w:tcW w:w="467" w:type="pct"/>
            <w:tcBorders>
              <w:top w:val="nil"/>
              <w:left w:val="nil"/>
              <w:bottom w:val="single" w:sz="4" w:space="0" w:color="auto"/>
              <w:right w:val="single" w:sz="4" w:space="0" w:color="auto"/>
            </w:tcBorders>
            <w:shd w:val="clear" w:color="000000" w:fill="F5F5DC"/>
            <w:noWrap/>
            <w:vAlign w:val="center"/>
            <w:hideMark/>
          </w:tcPr>
          <w:p w:rsidR="005F4A4E" w:rsidRPr="0067515C" w:rsidRDefault="001404A2" w:rsidP="007C1E47">
            <w:pPr>
              <w:jc w:val="right"/>
              <w:rPr>
                <w:rFonts w:ascii="Arial" w:hAnsi="Arial" w:cs="Arial"/>
                <w:sz w:val="14"/>
                <w:szCs w:val="14"/>
              </w:rPr>
            </w:pPr>
            <w:r>
              <w:rPr>
                <w:rFonts w:ascii="Arial" w:hAnsi="Arial" w:cs="Arial"/>
                <w:sz w:val="14"/>
                <w:szCs w:val="14"/>
              </w:rPr>
              <w:t>87 065,26</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1404A2" w:rsidP="007C1E47">
            <w:pPr>
              <w:jc w:val="right"/>
              <w:rPr>
                <w:rFonts w:ascii="Arial" w:hAnsi="Arial" w:cs="Arial"/>
                <w:sz w:val="14"/>
                <w:szCs w:val="14"/>
              </w:rPr>
            </w:pPr>
            <w:r>
              <w:rPr>
                <w:rFonts w:ascii="Arial" w:hAnsi="Arial" w:cs="Arial"/>
                <w:sz w:val="14"/>
                <w:szCs w:val="14"/>
              </w:rPr>
              <w:t>17,20%</w:t>
            </w:r>
          </w:p>
        </w:tc>
        <w:tc>
          <w:tcPr>
            <w:tcW w:w="491"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506 248,35</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1.3.2.2</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 xml:space="preserve">Wykonania zbiorczego systemu kanalizacji sanitarnej w miejscowości Słomowo - </w:t>
            </w:r>
          </w:p>
        </w:tc>
        <w:tc>
          <w:tcPr>
            <w:tcW w:w="442"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UM Rogoźno</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2021</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2023</w:t>
            </w:r>
          </w:p>
        </w:tc>
        <w:tc>
          <w:tcPr>
            <w:tcW w:w="38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740 000,00</w:t>
            </w:r>
          </w:p>
        </w:tc>
        <w:tc>
          <w:tcPr>
            <w:tcW w:w="40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150 000,00</w:t>
            </w:r>
          </w:p>
        </w:tc>
        <w:tc>
          <w:tcPr>
            <w:tcW w:w="446"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300 000,00</w:t>
            </w:r>
          </w:p>
        </w:tc>
        <w:tc>
          <w:tcPr>
            <w:tcW w:w="467" w:type="pct"/>
            <w:tcBorders>
              <w:top w:val="nil"/>
              <w:left w:val="nil"/>
              <w:bottom w:val="single" w:sz="4" w:space="0" w:color="auto"/>
              <w:right w:val="single" w:sz="4" w:space="0" w:color="auto"/>
            </w:tcBorders>
            <w:shd w:val="clear" w:color="000000" w:fill="F5F5DC"/>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0,00</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0,00%</w:t>
            </w:r>
          </w:p>
        </w:tc>
        <w:tc>
          <w:tcPr>
            <w:tcW w:w="491"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590 000,00</w:t>
            </w:r>
          </w:p>
        </w:tc>
      </w:tr>
      <w:tr w:rsidR="005F4A4E" w:rsidRPr="0067515C" w:rsidTr="005269BA">
        <w:trPr>
          <w:cantSplit/>
          <w:trHeight w:val="227"/>
        </w:trPr>
        <w:tc>
          <w:tcPr>
            <w:tcW w:w="415" w:type="pct"/>
            <w:tcBorders>
              <w:top w:val="nil"/>
              <w:left w:val="single" w:sz="4" w:space="0" w:color="auto"/>
              <w:bottom w:val="single" w:sz="4" w:space="0" w:color="auto"/>
              <w:right w:val="single" w:sz="4" w:space="0" w:color="auto"/>
            </w:tcBorders>
            <w:shd w:val="clear" w:color="000000" w:fill="EAEAEA"/>
            <w:noWrap/>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1.3.2.3</w:t>
            </w:r>
          </w:p>
        </w:tc>
        <w:tc>
          <w:tcPr>
            <w:tcW w:w="1081" w:type="pct"/>
            <w:tcBorders>
              <w:top w:val="nil"/>
              <w:left w:val="nil"/>
              <w:bottom w:val="single" w:sz="4" w:space="0" w:color="auto"/>
              <w:right w:val="single" w:sz="4" w:space="0" w:color="auto"/>
            </w:tcBorders>
            <w:shd w:val="clear" w:color="000000" w:fill="EAEAEA"/>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 xml:space="preserve">Rozwój szkolnej infrastruktury Laboratoria przyszłości - </w:t>
            </w:r>
          </w:p>
        </w:tc>
        <w:tc>
          <w:tcPr>
            <w:tcW w:w="442"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rPr>
                <w:rFonts w:ascii="Arial" w:hAnsi="Arial" w:cs="Arial"/>
                <w:sz w:val="14"/>
                <w:szCs w:val="14"/>
              </w:rPr>
            </w:pPr>
            <w:r w:rsidRPr="0067515C">
              <w:rPr>
                <w:rFonts w:ascii="Arial" w:hAnsi="Arial" w:cs="Arial"/>
                <w:sz w:val="14"/>
                <w:szCs w:val="14"/>
              </w:rPr>
              <w:t> </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2021</w:t>
            </w:r>
          </w:p>
        </w:tc>
        <w:tc>
          <w:tcPr>
            <w:tcW w:w="240" w:type="pct"/>
            <w:tcBorders>
              <w:top w:val="nil"/>
              <w:left w:val="nil"/>
              <w:bottom w:val="single" w:sz="4" w:space="0" w:color="auto"/>
              <w:right w:val="single" w:sz="4" w:space="0" w:color="auto"/>
            </w:tcBorders>
            <w:shd w:val="clear" w:color="000000" w:fill="FFFFFF"/>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2022</w:t>
            </w:r>
          </w:p>
        </w:tc>
        <w:tc>
          <w:tcPr>
            <w:tcW w:w="38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525 100,00</w:t>
            </w:r>
          </w:p>
        </w:tc>
        <w:tc>
          <w:tcPr>
            <w:tcW w:w="405"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0,00</w:t>
            </w:r>
          </w:p>
        </w:tc>
        <w:tc>
          <w:tcPr>
            <w:tcW w:w="446"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438 753,89</w:t>
            </w:r>
          </w:p>
        </w:tc>
        <w:tc>
          <w:tcPr>
            <w:tcW w:w="467" w:type="pct"/>
            <w:tcBorders>
              <w:top w:val="nil"/>
              <w:left w:val="nil"/>
              <w:bottom w:val="single" w:sz="4" w:space="0" w:color="auto"/>
              <w:right w:val="single" w:sz="4" w:space="0" w:color="auto"/>
            </w:tcBorders>
            <w:shd w:val="clear" w:color="000000" w:fill="F5F5DC"/>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0,00</w:t>
            </w:r>
          </w:p>
        </w:tc>
        <w:tc>
          <w:tcPr>
            <w:tcW w:w="388" w:type="pct"/>
            <w:tcBorders>
              <w:top w:val="nil"/>
              <w:left w:val="nil"/>
              <w:bottom w:val="single" w:sz="4" w:space="0" w:color="auto"/>
              <w:right w:val="single" w:sz="4" w:space="0" w:color="auto"/>
            </w:tcBorders>
            <w:shd w:val="clear" w:color="000000" w:fill="ADD8E6"/>
            <w:noWrap/>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0,00%</w:t>
            </w:r>
          </w:p>
        </w:tc>
        <w:tc>
          <w:tcPr>
            <w:tcW w:w="491" w:type="pct"/>
            <w:tcBorders>
              <w:top w:val="nil"/>
              <w:left w:val="nil"/>
              <w:bottom w:val="single" w:sz="4" w:space="0" w:color="auto"/>
              <w:right w:val="single" w:sz="4" w:space="0" w:color="auto"/>
            </w:tcBorders>
            <w:shd w:val="clear" w:color="000000" w:fill="FFFFFF"/>
            <w:vAlign w:val="center"/>
            <w:hideMark/>
          </w:tcPr>
          <w:p w:rsidR="005F4A4E" w:rsidRPr="0067515C" w:rsidRDefault="005F4A4E" w:rsidP="007C1E47">
            <w:pPr>
              <w:jc w:val="right"/>
              <w:rPr>
                <w:rFonts w:ascii="Arial" w:hAnsi="Arial" w:cs="Arial"/>
                <w:sz w:val="14"/>
                <w:szCs w:val="14"/>
              </w:rPr>
            </w:pPr>
            <w:r w:rsidRPr="0067515C">
              <w:rPr>
                <w:rFonts w:ascii="Arial" w:hAnsi="Arial" w:cs="Arial"/>
                <w:sz w:val="14"/>
                <w:szCs w:val="14"/>
              </w:rPr>
              <w:t>0,00</w:t>
            </w:r>
          </w:p>
        </w:tc>
      </w:tr>
    </w:tbl>
    <w:p w:rsidR="005F4A4E" w:rsidRPr="003E6E08" w:rsidRDefault="005F4A4E" w:rsidP="005F4A4E"/>
    <w:p w:rsidR="00142AFC" w:rsidRDefault="007711FC"/>
    <w:sectPr w:rsidR="00142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7CFA"/>
    <w:multiLevelType w:val="hybridMultilevel"/>
    <w:tmpl w:val="C72A3A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DFF43FA"/>
    <w:multiLevelType w:val="hybridMultilevel"/>
    <w:tmpl w:val="34B459EA"/>
    <w:lvl w:ilvl="0" w:tplc="E39673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1A62CE"/>
    <w:multiLevelType w:val="hybridMultilevel"/>
    <w:tmpl w:val="3682914E"/>
    <w:lvl w:ilvl="0" w:tplc="C4160032">
      <w:start w:val="1"/>
      <w:numFmt w:val="decimal"/>
      <w:lvlText w:val="%1."/>
      <w:lvlJc w:val="left"/>
      <w:pPr>
        <w:ind w:left="1080" w:hanging="360"/>
      </w:pPr>
      <w:rPr>
        <w:rFonts w:hint="default"/>
      </w:rPr>
    </w:lvl>
    <w:lvl w:ilvl="1" w:tplc="D4C0553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7E863E6"/>
    <w:multiLevelType w:val="hybridMultilevel"/>
    <w:tmpl w:val="13029DCE"/>
    <w:lvl w:ilvl="0" w:tplc="C4160032">
      <w:start w:val="1"/>
      <w:numFmt w:val="decimal"/>
      <w:lvlText w:val="%1."/>
      <w:lvlJc w:val="left"/>
      <w:pPr>
        <w:ind w:left="1080" w:hanging="360"/>
      </w:pPr>
      <w:rPr>
        <w:rFonts w:hint="default"/>
      </w:rPr>
    </w:lvl>
    <w:lvl w:ilvl="1" w:tplc="8550CD7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D572CEF"/>
    <w:multiLevelType w:val="hybridMultilevel"/>
    <w:tmpl w:val="089A404C"/>
    <w:lvl w:ilvl="0" w:tplc="C4160032">
      <w:start w:val="1"/>
      <w:numFmt w:val="decimal"/>
      <w:lvlText w:val="%1."/>
      <w:lvlJc w:val="left"/>
      <w:pPr>
        <w:ind w:left="36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nsid w:val="6DB51043"/>
    <w:multiLevelType w:val="hybridMultilevel"/>
    <w:tmpl w:val="157EE2EA"/>
    <w:lvl w:ilvl="0" w:tplc="E39673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4E"/>
    <w:rsid w:val="00073968"/>
    <w:rsid w:val="001404A2"/>
    <w:rsid w:val="005269BA"/>
    <w:rsid w:val="005F4A4E"/>
    <w:rsid w:val="00707D8A"/>
    <w:rsid w:val="007711FC"/>
    <w:rsid w:val="00854BC0"/>
    <w:rsid w:val="00C04C8D"/>
    <w:rsid w:val="00F46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4E"/>
    <w:pPr>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semiHidden/>
    <w:rsid w:val="005F4A4E"/>
  </w:style>
  <w:style w:type="character" w:styleId="Hipercze">
    <w:name w:val="Hyperlink"/>
    <w:rsid w:val="005F4A4E"/>
    <w:rPr>
      <w:color w:val="0000FF"/>
      <w:u w:val="single"/>
    </w:rPr>
  </w:style>
  <w:style w:type="table" w:styleId="Tabela-Prosty1">
    <w:name w:val="Table Simple 1"/>
    <w:basedOn w:val="Standardowy"/>
    <w:rsid w:val="005F4A4E"/>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5F4A4E"/>
    <w:pPr>
      <w:ind w:left="708"/>
    </w:pPr>
  </w:style>
  <w:style w:type="paragraph" w:styleId="Legenda">
    <w:name w:val="caption"/>
    <w:basedOn w:val="Normalny"/>
    <w:next w:val="Normalny"/>
    <w:uiPriority w:val="35"/>
    <w:unhideWhenUsed/>
    <w:qFormat/>
    <w:rsid w:val="005F4A4E"/>
    <w:rPr>
      <w:b/>
      <w:bCs/>
      <w:sz w:val="20"/>
      <w:szCs w:val="20"/>
    </w:rPr>
  </w:style>
  <w:style w:type="paragraph" w:styleId="Tekstdymka">
    <w:name w:val="Balloon Text"/>
    <w:basedOn w:val="Normalny"/>
    <w:link w:val="TekstdymkaZnak"/>
    <w:uiPriority w:val="99"/>
    <w:semiHidden/>
    <w:unhideWhenUsed/>
    <w:rsid w:val="005269BA"/>
    <w:rPr>
      <w:rFonts w:ascii="Tahoma" w:hAnsi="Tahoma" w:cs="Tahoma"/>
      <w:sz w:val="16"/>
      <w:szCs w:val="16"/>
    </w:rPr>
  </w:style>
  <w:style w:type="character" w:customStyle="1" w:styleId="TekstdymkaZnak">
    <w:name w:val="Tekst dymka Znak"/>
    <w:basedOn w:val="Domylnaczcionkaakapitu"/>
    <w:link w:val="Tekstdymka"/>
    <w:uiPriority w:val="99"/>
    <w:semiHidden/>
    <w:rsid w:val="005269B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4E"/>
    <w:pPr>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semiHidden/>
    <w:rsid w:val="005F4A4E"/>
  </w:style>
  <w:style w:type="character" w:styleId="Hipercze">
    <w:name w:val="Hyperlink"/>
    <w:rsid w:val="005F4A4E"/>
    <w:rPr>
      <w:color w:val="0000FF"/>
      <w:u w:val="single"/>
    </w:rPr>
  </w:style>
  <w:style w:type="table" w:styleId="Tabela-Prosty1">
    <w:name w:val="Table Simple 1"/>
    <w:basedOn w:val="Standardowy"/>
    <w:rsid w:val="005F4A4E"/>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5F4A4E"/>
    <w:pPr>
      <w:ind w:left="708"/>
    </w:pPr>
  </w:style>
  <w:style w:type="paragraph" w:styleId="Legenda">
    <w:name w:val="caption"/>
    <w:basedOn w:val="Normalny"/>
    <w:next w:val="Normalny"/>
    <w:uiPriority w:val="35"/>
    <w:unhideWhenUsed/>
    <w:qFormat/>
    <w:rsid w:val="005F4A4E"/>
    <w:rPr>
      <w:b/>
      <w:bCs/>
      <w:sz w:val="20"/>
      <w:szCs w:val="20"/>
    </w:rPr>
  </w:style>
  <w:style w:type="paragraph" w:styleId="Tekstdymka">
    <w:name w:val="Balloon Text"/>
    <w:basedOn w:val="Normalny"/>
    <w:link w:val="TekstdymkaZnak"/>
    <w:uiPriority w:val="99"/>
    <w:semiHidden/>
    <w:unhideWhenUsed/>
    <w:rsid w:val="005269BA"/>
    <w:rPr>
      <w:rFonts w:ascii="Tahoma" w:hAnsi="Tahoma" w:cs="Tahoma"/>
      <w:sz w:val="16"/>
      <w:szCs w:val="16"/>
    </w:rPr>
  </w:style>
  <w:style w:type="character" w:customStyle="1" w:styleId="TekstdymkaZnak">
    <w:name w:val="Tekst dymka Znak"/>
    <w:basedOn w:val="Domylnaczcionkaakapitu"/>
    <w:link w:val="Tekstdymka"/>
    <w:uiPriority w:val="99"/>
    <w:semiHidden/>
    <w:rsid w:val="005269B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2977</Words>
  <Characters>17866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B02-Skarbnik</dc:creator>
  <cp:lastModifiedBy>B02-Skarbnik</cp:lastModifiedBy>
  <cp:revision>10</cp:revision>
  <cp:lastPrinted>2022-08-30T17:50:00Z</cp:lastPrinted>
  <dcterms:created xsi:type="dcterms:W3CDTF">2022-08-30T13:58:00Z</dcterms:created>
  <dcterms:modified xsi:type="dcterms:W3CDTF">2022-08-31T05:48:00Z</dcterms:modified>
</cp:coreProperties>
</file>