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F730" w14:textId="77777777" w:rsidR="008A547B" w:rsidRPr="008A547B" w:rsidRDefault="008A547B" w:rsidP="0060794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755CA947" w14:textId="77777777" w:rsidR="00607949" w:rsidRPr="00F415CB" w:rsidRDefault="00606021" w:rsidP="00607949">
      <w:pPr>
        <w:rPr>
          <w:u w:val="single"/>
        </w:rPr>
      </w:pPr>
      <w:r>
        <w:rPr>
          <w:u w:val="single"/>
        </w:rPr>
        <w:t>Analiza wskaźnikowa</w:t>
      </w:r>
    </w:p>
    <w:p w14:paraId="7ED6F583" w14:textId="77777777" w:rsidR="00055C93" w:rsidRDefault="00055C93" w:rsidP="00607949"/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540"/>
        <w:gridCol w:w="960"/>
        <w:gridCol w:w="960"/>
      </w:tblGrid>
      <w:tr w:rsidR="00961AC9" w:rsidRPr="00531C44" w14:paraId="136DC0FB" w14:textId="77777777" w:rsidTr="00522435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14:paraId="17959203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wskaźniki płynności finansowej i wypłacalności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3476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sposób wyliczenia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759F" w14:textId="729325EF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96C"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3E09" w14:textId="318E908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</w:p>
        </w:tc>
      </w:tr>
      <w:tr w:rsidR="00961AC9" w:rsidRPr="00531C44" w14:paraId="696A08C1" w14:textId="77777777" w:rsidTr="00961AC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0B43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płynności bieżącej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FE60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majątek obrotowy / zobowiązania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9E97" w14:textId="0495171A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96C"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C81F" w14:textId="5FF825F3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1,08</w:t>
            </w:r>
          </w:p>
        </w:tc>
      </w:tr>
      <w:tr w:rsidR="00961AC9" w:rsidRPr="00531C44" w14:paraId="0D3D66F8" w14:textId="77777777" w:rsidTr="00961AC9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B67F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płynności szybkiej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EC92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majątek obrotowy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zapasy / zobowiązania bieżące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CFE" w14:textId="61682F1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96C"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F87B" w14:textId="0DAE228E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0,89</w:t>
            </w:r>
          </w:p>
        </w:tc>
      </w:tr>
      <w:tr w:rsidR="00961AC9" w:rsidRPr="00531C44" w14:paraId="257F3317" w14:textId="77777777" w:rsidTr="00961AC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FB3C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zadłużenia ogólnego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D6AF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zobowiązania ogółem / aktywa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FA7" w14:textId="0E021F3B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96C"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5FD5" w14:textId="6D7E62BC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0,10</w:t>
            </w:r>
          </w:p>
        </w:tc>
      </w:tr>
      <w:tr w:rsidR="00961AC9" w:rsidRPr="00531C44" w14:paraId="1AA53D3C" w14:textId="77777777" w:rsidTr="00961AC9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C27D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złotej reguły bilansowej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F3AD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kapitały stałe (kapitały własne + zobowiązania długoterminowe) / majątek trwały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0B85" w14:textId="517FF611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96C">
              <w:t>0,97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8E5D" w14:textId="1FA0A683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0,98</w:t>
            </w:r>
          </w:p>
        </w:tc>
      </w:tr>
      <w:tr w:rsidR="00961AC9" w:rsidRPr="00531C44" w14:paraId="4A150613" w14:textId="77777777" w:rsidTr="00961AC9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EA28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unieruchomienia środków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E5B0" w14:textId="77777777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majątek trwały / aktywa 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4CA7" w14:textId="3CC23261" w:rsidR="00961AC9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96C"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99F4" w14:textId="6503E4AA" w:rsidR="00961AC9" w:rsidRPr="00531C44" w:rsidRDefault="00961AC9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0,96</w:t>
            </w:r>
          </w:p>
        </w:tc>
      </w:tr>
    </w:tbl>
    <w:p w14:paraId="2396D7FA" w14:textId="77777777" w:rsidR="00607949" w:rsidRDefault="00607949" w:rsidP="00607949">
      <w:r>
        <w:t xml:space="preserve"> </w:t>
      </w:r>
    </w:p>
    <w:p w14:paraId="28CAE2D9" w14:textId="77777777" w:rsidR="00607949" w:rsidRPr="00CE7D0F" w:rsidRDefault="00607949" w:rsidP="00607949">
      <w:pPr>
        <w:spacing w:before="100" w:beforeAutospacing="1" w:after="100" w:afterAutospacing="1" w:line="360" w:lineRule="auto"/>
        <w:contextualSpacing/>
        <w:jc w:val="both"/>
        <w:rPr>
          <w:i/>
        </w:rPr>
      </w:pPr>
      <w:r w:rsidRPr="00CE7D0F">
        <w:rPr>
          <w:i/>
        </w:rPr>
        <w:t>Wskaźnik płynności bieżącej informuje o zdolności do regulowania wymagalnych zobowiązań bieżących przy pomocy</w:t>
      </w:r>
      <w:r w:rsidR="00E74A54">
        <w:rPr>
          <w:i/>
        </w:rPr>
        <w:t xml:space="preserve"> </w:t>
      </w:r>
      <w:r w:rsidRPr="00CE7D0F">
        <w:rPr>
          <w:i/>
        </w:rPr>
        <w:t>upłynnienia środków obrotowych. Optymalny poziom wskaźnika, to przedział 1,5-2.</w:t>
      </w:r>
      <w:r w:rsidRPr="00CE7D0F">
        <w:rPr>
          <w:i/>
        </w:rPr>
        <w:tab/>
      </w:r>
    </w:p>
    <w:p w14:paraId="0A6D6797" w14:textId="0492E846" w:rsidR="00607949" w:rsidRDefault="00607949" w:rsidP="00607949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Pr="00606021">
        <w:t xml:space="preserve">W </w:t>
      </w:r>
      <w:r w:rsidR="00606021">
        <w:t>roku 20</w:t>
      </w:r>
      <w:r w:rsidR="00961AC9">
        <w:t>20</w:t>
      </w:r>
      <w:r>
        <w:t xml:space="preserve"> poziom wskaźnika </w:t>
      </w:r>
      <w:r w:rsidR="00961AC9">
        <w:t xml:space="preserve">wzrósł o </w:t>
      </w:r>
      <w:r w:rsidR="00B0427D">
        <w:t>45%</w:t>
      </w:r>
      <w:r w:rsidR="00606021">
        <w:t xml:space="preserve"> w stosunku do roku poprzedniego. </w:t>
      </w:r>
      <w:r w:rsidR="003D4882">
        <w:t>Świadczy to o niższym udziale zobowiązań krótkoterminowych w aktywach obrotowych i oznacza</w:t>
      </w:r>
      <w:r>
        <w:t xml:space="preserve"> </w:t>
      </w:r>
      <w:r w:rsidR="003D4882">
        <w:t>wzrost zdolności do regulowania bieżących zobowiązań.</w:t>
      </w:r>
    </w:p>
    <w:p w14:paraId="222BCDA5" w14:textId="77777777" w:rsidR="00752D9C" w:rsidRDefault="00752D9C" w:rsidP="00607949">
      <w:pPr>
        <w:spacing w:before="100" w:beforeAutospacing="1" w:after="100" w:afterAutospacing="1" w:line="360" w:lineRule="auto"/>
        <w:contextualSpacing/>
        <w:jc w:val="both"/>
      </w:pPr>
    </w:p>
    <w:p w14:paraId="057CF8DA" w14:textId="77777777" w:rsidR="00E60E0A" w:rsidRDefault="00607949" w:rsidP="00607949">
      <w:pPr>
        <w:spacing w:before="100" w:beforeAutospacing="1" w:after="100" w:afterAutospacing="1" w:line="360" w:lineRule="auto"/>
        <w:contextualSpacing/>
        <w:jc w:val="both"/>
        <w:rPr>
          <w:i/>
        </w:rPr>
      </w:pPr>
      <w:r w:rsidRPr="00CE7D0F">
        <w:rPr>
          <w:i/>
        </w:rPr>
        <w:t xml:space="preserve">Wskaźnik płynności szybkiej określa zdolność do szybkiego uregulowania </w:t>
      </w:r>
      <w:r>
        <w:rPr>
          <w:i/>
        </w:rPr>
        <w:t>wymagalnych zobowiązań (pokrycia</w:t>
      </w:r>
      <w:r w:rsidR="00055C93">
        <w:rPr>
          <w:i/>
        </w:rPr>
        <w:t xml:space="preserve"> </w:t>
      </w:r>
      <w:r w:rsidRPr="00CE7D0F">
        <w:rPr>
          <w:i/>
        </w:rPr>
        <w:t>płynnymi środkami obrotowymi). Wskaźnik nie powinien być mniejszy od 1.</w:t>
      </w:r>
      <w:r w:rsidRPr="00CE7D0F">
        <w:rPr>
          <w:i/>
        </w:rPr>
        <w:tab/>
      </w:r>
      <w:r w:rsidRPr="00CE7D0F">
        <w:rPr>
          <w:i/>
        </w:rPr>
        <w:tab/>
      </w:r>
      <w:r w:rsidRPr="00CE7D0F">
        <w:rPr>
          <w:i/>
        </w:rPr>
        <w:tab/>
      </w:r>
    </w:p>
    <w:p w14:paraId="266388BB" w14:textId="1F9BCB10" w:rsidR="00E60E0A" w:rsidRDefault="00607949" w:rsidP="00607949">
      <w:pPr>
        <w:spacing w:before="100" w:beforeAutospacing="1" w:after="100" w:afterAutospacing="1" w:line="360" w:lineRule="auto"/>
        <w:contextualSpacing/>
        <w:jc w:val="both"/>
      </w:pPr>
      <w:r>
        <w:tab/>
        <w:t xml:space="preserve">W analizowanym okresie stopień pokrycia zobowiązań krótkoterminowych aktywami o dużej płynności </w:t>
      </w:r>
      <w:r w:rsidR="00B0427D">
        <w:t xml:space="preserve">wzrósł w stosunku do roku 2019 o 35%. </w:t>
      </w:r>
      <w:r w:rsidR="008273AB">
        <w:t xml:space="preserve">Wynika to ze </w:t>
      </w:r>
      <w:r w:rsidR="00F77EB6">
        <w:t xml:space="preserve">znacznego </w:t>
      </w:r>
      <w:r w:rsidR="008273AB">
        <w:t xml:space="preserve">spadku </w:t>
      </w:r>
      <w:r w:rsidR="009F1CA5">
        <w:t xml:space="preserve">zobowiązań krótkoterminowych w porównaniu z rokiem ubiegłym przy jednoczesnym </w:t>
      </w:r>
      <w:r w:rsidR="003D4882">
        <w:t xml:space="preserve">niewielkim </w:t>
      </w:r>
      <w:r w:rsidR="009F1CA5">
        <w:t>obniżeniu majątku obrotowego w stosunku do roku 2019.</w:t>
      </w:r>
      <w:r w:rsidR="00F77EB6">
        <w:t xml:space="preserve"> Wskaźnik płynności szybkiej w przedsiębiorstwie jest na poziomie akceptowalnym. </w:t>
      </w:r>
    </w:p>
    <w:p w14:paraId="538136FD" w14:textId="77777777" w:rsidR="00607949" w:rsidRDefault="00607949" w:rsidP="00607949">
      <w:pPr>
        <w:spacing w:before="100" w:beforeAutospacing="1" w:after="100" w:afterAutospacing="1" w:line="360" w:lineRule="auto"/>
        <w:contextualSpacing/>
        <w:jc w:val="both"/>
      </w:pPr>
      <w:r>
        <w:tab/>
      </w:r>
      <w:r>
        <w:tab/>
      </w:r>
      <w:r>
        <w:tab/>
      </w:r>
    </w:p>
    <w:p w14:paraId="1F276593" w14:textId="77777777" w:rsidR="00055C93" w:rsidRDefault="00607949" w:rsidP="00607949">
      <w:pPr>
        <w:spacing w:before="100" w:beforeAutospacing="1" w:after="100" w:afterAutospacing="1" w:line="360" w:lineRule="auto"/>
        <w:contextualSpacing/>
        <w:jc w:val="both"/>
        <w:rPr>
          <w:i/>
        </w:rPr>
      </w:pPr>
      <w:r w:rsidRPr="00C94BB8">
        <w:rPr>
          <w:i/>
        </w:rPr>
        <w:t>Wskaźnik zadłużenia ogólnego informuje o stopniu zadłużenia jednostki tj. obciążenia majątku zobowiązaniami.</w:t>
      </w:r>
      <w:r w:rsidR="00055C93">
        <w:rPr>
          <w:i/>
        </w:rPr>
        <w:t xml:space="preserve"> </w:t>
      </w:r>
      <w:r w:rsidRPr="00C94BB8">
        <w:rPr>
          <w:i/>
        </w:rPr>
        <w:t>Im wskaźnik jest mniejszy, tym udział kapitałów obcych w finansowaniu majątku jest mniejszy. Zmniejszanie wskaźnika ocenia się pozytywnie.</w:t>
      </w:r>
      <w:r w:rsidRPr="00C94BB8">
        <w:rPr>
          <w:i/>
        </w:rPr>
        <w:tab/>
      </w:r>
    </w:p>
    <w:p w14:paraId="45706DD4" w14:textId="77777777" w:rsidR="00351AE8" w:rsidRDefault="00351AE8" w:rsidP="00607949">
      <w:pPr>
        <w:spacing w:before="100" w:beforeAutospacing="1" w:after="100" w:afterAutospacing="1" w:line="360" w:lineRule="auto"/>
        <w:contextualSpacing/>
        <w:jc w:val="both"/>
        <w:rPr>
          <w:i/>
        </w:rPr>
      </w:pPr>
    </w:p>
    <w:p w14:paraId="0532250D" w14:textId="36C9E04E" w:rsidR="00607949" w:rsidRDefault="00607949" w:rsidP="00607949">
      <w:pPr>
        <w:spacing w:before="100" w:beforeAutospacing="1" w:after="100" w:afterAutospacing="1" w:line="360" w:lineRule="auto"/>
        <w:contextualSpacing/>
        <w:jc w:val="both"/>
      </w:pPr>
      <w:r w:rsidRPr="00C94BB8">
        <w:rPr>
          <w:i/>
        </w:rPr>
        <w:tab/>
      </w:r>
      <w:r>
        <w:t xml:space="preserve">W </w:t>
      </w:r>
      <w:r w:rsidR="00752D9C">
        <w:t>20</w:t>
      </w:r>
      <w:r w:rsidR="00F77EB6">
        <w:t>20</w:t>
      </w:r>
      <w:r w:rsidR="00752D9C">
        <w:t xml:space="preserve"> </w:t>
      </w:r>
      <w:r w:rsidR="00F77EB6">
        <w:t xml:space="preserve">roku w </w:t>
      </w:r>
      <w:r w:rsidR="00752D9C">
        <w:t>stosunku do roku 201</w:t>
      </w:r>
      <w:r w:rsidR="00F77EB6">
        <w:t>9</w:t>
      </w:r>
      <w:r w:rsidR="00E60E0A">
        <w:t xml:space="preserve"> wskaźnik </w:t>
      </w:r>
      <w:r w:rsidR="008273AB">
        <w:t>zmniejszył się</w:t>
      </w:r>
      <w:r w:rsidR="00E60E0A">
        <w:t xml:space="preserve"> o </w:t>
      </w:r>
      <w:r w:rsidR="00F77EB6">
        <w:t>20%</w:t>
      </w:r>
      <w:r>
        <w:t xml:space="preserve">, co oznacza, że obciążenie majątku firmy zobowiązaniami </w:t>
      </w:r>
      <w:r w:rsidR="008273AB">
        <w:t>spada</w:t>
      </w:r>
      <w:r>
        <w:t xml:space="preserve">. </w:t>
      </w:r>
      <w:r w:rsidR="008273AB">
        <w:t xml:space="preserve">Firma powiększa swój majątek, korzystając tylko </w:t>
      </w:r>
      <w:r w:rsidR="008273AB">
        <w:lastRenderedPageBreak/>
        <w:t>częściowo z finansowania zewnętrznego. Znaczna większość majątku trwałego został wniesiona do firmy w formie aportu.</w:t>
      </w:r>
      <w:r w:rsidR="00F77EB6">
        <w:t xml:space="preserve"> Poziom zobowiązań ogółem obniżył się w </w:t>
      </w:r>
      <w:r w:rsidR="00327187">
        <w:t>stosunku do roku poprzedniego, głównie ze względu na zmniejszające się saldo zobowiązań z tytułu kredytów i pożyczek finansujących inwestycje Spółki.</w:t>
      </w:r>
    </w:p>
    <w:p w14:paraId="6FC41EB0" w14:textId="77777777" w:rsidR="00607949" w:rsidRDefault="00607949" w:rsidP="00607949">
      <w:pPr>
        <w:spacing w:before="100" w:beforeAutospacing="1" w:after="100" w:afterAutospacing="1" w:line="360" w:lineRule="auto"/>
        <w:contextualSpacing/>
        <w:jc w:val="both"/>
      </w:pPr>
      <w:r>
        <w:tab/>
      </w:r>
      <w:r>
        <w:tab/>
      </w:r>
      <w:r>
        <w:tab/>
      </w:r>
    </w:p>
    <w:p w14:paraId="51DA4444" w14:textId="79AEF2B7" w:rsidR="00B11549" w:rsidRDefault="00607949" w:rsidP="00607949">
      <w:pPr>
        <w:spacing w:before="100" w:beforeAutospacing="1" w:after="100" w:afterAutospacing="1" w:line="360" w:lineRule="auto"/>
        <w:contextualSpacing/>
        <w:jc w:val="both"/>
      </w:pPr>
      <w:r w:rsidRPr="00DE0C13">
        <w:rPr>
          <w:i/>
        </w:rPr>
        <w:t xml:space="preserve">Wskaźnik </w:t>
      </w:r>
      <w:r w:rsidR="00055C93">
        <w:rPr>
          <w:i/>
        </w:rPr>
        <w:t>‘</w:t>
      </w:r>
      <w:r w:rsidRPr="00DE0C13">
        <w:rPr>
          <w:i/>
        </w:rPr>
        <w:t>złotej reguły bilansowej</w:t>
      </w:r>
      <w:r w:rsidR="008A547B">
        <w:rPr>
          <w:i/>
        </w:rPr>
        <w:t>’</w:t>
      </w:r>
      <w:r w:rsidRPr="00DE0C13">
        <w:rPr>
          <w:i/>
        </w:rPr>
        <w:t>, to informacja o stopniu pokrycia majątku trwałego kapitałami stałymi. Aby</w:t>
      </w:r>
      <w:r w:rsidR="00055C93">
        <w:rPr>
          <w:i/>
        </w:rPr>
        <w:t xml:space="preserve"> ‘z</w:t>
      </w:r>
      <w:r w:rsidRPr="00DE0C13">
        <w:rPr>
          <w:i/>
        </w:rPr>
        <w:t>łota reguła bilansowa</w:t>
      </w:r>
      <w:r w:rsidR="008A547B">
        <w:rPr>
          <w:i/>
        </w:rPr>
        <w:t>’</w:t>
      </w:r>
      <w:r w:rsidRPr="00DE0C13">
        <w:rPr>
          <w:i/>
        </w:rPr>
        <w:t xml:space="preserve"> została zachowana wskaźnik musi być równy lub większy od 1.</w:t>
      </w:r>
      <w:r w:rsidRPr="00DE0C13">
        <w:rPr>
          <w:i/>
        </w:rPr>
        <w:tab/>
      </w:r>
      <w:r w:rsidR="0046495E" w:rsidRPr="006A47C8">
        <w:t xml:space="preserve">W </w:t>
      </w:r>
      <w:r w:rsidR="006A47C8">
        <w:t>roku</w:t>
      </w:r>
      <w:r w:rsidR="0046495E" w:rsidRPr="006A47C8">
        <w:t xml:space="preserve"> 201</w:t>
      </w:r>
      <w:r w:rsidR="00327187">
        <w:t>9</w:t>
      </w:r>
      <w:r w:rsidR="0046495E" w:rsidRPr="006A47C8">
        <w:t xml:space="preserve"> </w:t>
      </w:r>
      <w:r w:rsidR="00831890" w:rsidRPr="006A47C8">
        <w:t xml:space="preserve">wskaźnik </w:t>
      </w:r>
      <w:r w:rsidR="006A47C8">
        <w:t>wynosi</w:t>
      </w:r>
      <w:r w:rsidR="00327187">
        <w:t>ł</w:t>
      </w:r>
      <w:r w:rsidR="006A47C8">
        <w:t xml:space="preserve"> 0,97</w:t>
      </w:r>
      <w:r w:rsidR="00327187">
        <w:t>, natomiast w roku 2020 odnotowano wzrost wskaźnika do 0,98</w:t>
      </w:r>
      <w:r w:rsidR="00B11549">
        <w:t xml:space="preserve">. </w:t>
      </w:r>
      <w:r w:rsidR="00327187">
        <w:t xml:space="preserve">Taki poziom wskazuje na mocne podstawy kapitałowe przedsiębiorstwa i jego niezależność finansową. </w:t>
      </w:r>
      <w:r w:rsidR="00B11549">
        <w:t xml:space="preserve"> </w:t>
      </w:r>
      <w:r w:rsidR="00EA7902">
        <w:t>Sk</w:t>
      </w:r>
      <w:r w:rsidR="00327187" w:rsidRPr="006A47C8">
        <w:t xml:space="preserve">ładniki trwałe aktywów </w:t>
      </w:r>
      <w:r w:rsidR="00EA7902">
        <w:t>są w 98%</w:t>
      </w:r>
      <w:r w:rsidR="00327187" w:rsidRPr="006A47C8">
        <w:t xml:space="preserve"> finansowane kapitałem własnym i zobowiązaniami długoterminowymi.</w:t>
      </w:r>
    </w:p>
    <w:p w14:paraId="3D79C822" w14:textId="77777777" w:rsidR="00607949" w:rsidRDefault="00607949" w:rsidP="00607949">
      <w:pPr>
        <w:spacing w:before="100" w:beforeAutospacing="1" w:after="100" w:afterAutospacing="1" w:line="360" w:lineRule="auto"/>
        <w:contextualSpacing/>
        <w:jc w:val="both"/>
      </w:pPr>
    </w:p>
    <w:p w14:paraId="03FF9B9E" w14:textId="77777777" w:rsidR="00607949" w:rsidRPr="007A4CB8" w:rsidRDefault="00607949" w:rsidP="00607949">
      <w:pPr>
        <w:spacing w:before="100" w:beforeAutospacing="1" w:after="100" w:afterAutospacing="1" w:line="360" w:lineRule="auto"/>
        <w:contextualSpacing/>
        <w:jc w:val="both"/>
        <w:rPr>
          <w:i/>
        </w:rPr>
      </w:pPr>
      <w:r w:rsidRPr="007A4CB8">
        <w:rPr>
          <w:i/>
        </w:rPr>
        <w:t>Wskaźnik unieruchomienia środków mówi jaki jest udział majątku trwałego w majątku ogółem i tym samym jaki jest procent środków zamrożonych na dłuższy okres czasu.</w:t>
      </w:r>
    </w:p>
    <w:p w14:paraId="0001B905" w14:textId="174D0A71" w:rsidR="00607949" w:rsidRDefault="00607949" w:rsidP="00607949">
      <w:pPr>
        <w:spacing w:before="100" w:beforeAutospacing="1" w:after="100" w:afterAutospacing="1" w:line="360" w:lineRule="auto"/>
        <w:contextualSpacing/>
        <w:jc w:val="both"/>
      </w:pPr>
      <w:r>
        <w:tab/>
        <w:t xml:space="preserve">W </w:t>
      </w:r>
      <w:r w:rsidR="0046495E">
        <w:t>roku 201</w:t>
      </w:r>
      <w:r w:rsidR="004F4A22">
        <w:t>9</w:t>
      </w:r>
      <w:r>
        <w:t xml:space="preserve"> udział majątku trwałego w m</w:t>
      </w:r>
      <w:r w:rsidR="0046495E">
        <w:t xml:space="preserve">ajątku ogółem wyniósł </w:t>
      </w:r>
      <w:r w:rsidR="004F4A22">
        <w:t>96</w:t>
      </w:r>
      <w:r w:rsidR="0046495E">
        <w:t>%</w:t>
      </w:r>
      <w:r w:rsidR="00EA7902">
        <w:t xml:space="preserve">. </w:t>
      </w:r>
      <w:r>
        <w:t xml:space="preserve">Jest to wysoki stopień zamrożenia środków na dłuższy czas. Należy zauważyć, że </w:t>
      </w:r>
      <w:r w:rsidR="00EA7902">
        <w:t>taki</w:t>
      </w:r>
      <w:r w:rsidR="0046495E">
        <w:t xml:space="preserve"> </w:t>
      </w:r>
      <w:r>
        <w:t xml:space="preserve">udział majątku trwałego w majątku ogółem </w:t>
      </w:r>
      <w:r w:rsidR="00EA7902">
        <w:t>S</w:t>
      </w:r>
      <w:r>
        <w:t>półki wynika z</w:t>
      </w:r>
      <w:r w:rsidR="00EA7902">
        <w:t>e specyfiki</w:t>
      </w:r>
      <w:r>
        <w:t xml:space="preserve"> branży, w której firma działa</w:t>
      </w:r>
      <w:r w:rsidR="00EA7902">
        <w:t>.</w:t>
      </w:r>
      <w:r w:rsidR="00920207">
        <w:t xml:space="preserve"> </w:t>
      </w:r>
    </w:p>
    <w:p w14:paraId="019646EE" w14:textId="77777777" w:rsidR="00920207" w:rsidRDefault="00920207" w:rsidP="00607949">
      <w:pPr>
        <w:spacing w:before="100" w:beforeAutospacing="1" w:after="100" w:afterAutospacing="1" w:line="360" w:lineRule="auto"/>
        <w:contextualSpacing/>
        <w:jc w:val="both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540"/>
        <w:gridCol w:w="960"/>
        <w:gridCol w:w="960"/>
      </w:tblGrid>
      <w:tr w:rsidR="00961AC9" w:rsidRPr="00531C44" w14:paraId="37F2AFBD" w14:textId="77777777" w:rsidTr="00522435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23A645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tab/>
            </w:r>
            <w:r w:rsidRPr="00531C4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wskaźniki aktywności gospodarczej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A69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sposób wyliczenia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193" w14:textId="1B035A49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37EE"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FAA" w14:textId="3E386A17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961AC9" w:rsidRPr="00531C44" w14:paraId="6BDA4EF1" w14:textId="77777777" w:rsidTr="00522435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D79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obrotowość (produktywność) aktywów ogółem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6AA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przychód ze sprzedaży / aktywa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920" w14:textId="14E39712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37EE"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03B" w14:textId="70E0D0D3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0,28</w:t>
            </w:r>
          </w:p>
        </w:tc>
      </w:tr>
      <w:tr w:rsidR="00961AC9" w:rsidRPr="00531C44" w14:paraId="3E3BA155" w14:textId="77777777" w:rsidTr="00522435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8F7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obrotowoś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 (produktywność) aktywów trwałych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977B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przyc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hód ze sprzedaży / rzeczowe aktywa trwałe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3C06" w14:textId="3021020B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37EE"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9311" w14:textId="6499B157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0,29</w:t>
            </w:r>
          </w:p>
        </w:tc>
      </w:tr>
      <w:tr w:rsidR="00961AC9" w:rsidRPr="00531C44" w14:paraId="3D0FB397" w14:textId="77777777" w:rsidTr="00522435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F86" w14:textId="77777777" w:rsidR="00961AC9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0C552C2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cykl rotacji zapasów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razach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677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przychody ze sprzedaży netto /zapasy ogółem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D2D6" w14:textId="3AEC4CB8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37EE">
              <w:t>53,30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340" w14:textId="3AB2F0AE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41,57</w:t>
            </w:r>
          </w:p>
        </w:tc>
      </w:tr>
      <w:tr w:rsidR="00961AC9" w:rsidRPr="00531C44" w14:paraId="59B890F6" w14:textId="77777777" w:rsidTr="00522435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6C91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cykl rotacji należności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razach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BFCE" w14:textId="77777777" w:rsidR="00961AC9" w:rsidRPr="00531C44" w:rsidRDefault="00961AC9" w:rsidP="00961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przychody ze sprzedaży netto / należności ogółem</w:t>
            </w: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677" w14:textId="63AD3CD0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37EE">
              <w:t>12,09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AE5" w14:textId="2112A4C7" w:rsidR="00961AC9" w:rsidRPr="00531C44" w:rsidRDefault="00961AC9" w:rsidP="0096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14,19</w:t>
            </w:r>
          </w:p>
        </w:tc>
      </w:tr>
      <w:tr w:rsidR="00522435" w:rsidRPr="00531C44" w14:paraId="2D4C08E4" w14:textId="77777777" w:rsidTr="00522435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89E0B41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rentowność sprzedaży mierzona zyskiem netto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6F2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zysk netto / przychód ze sprzedaży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C96" w14:textId="3352503F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3,72%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B296" w14:textId="02C8D96B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3,74%</w:t>
            </w:r>
          </w:p>
        </w:tc>
      </w:tr>
      <w:tr w:rsidR="00522435" w:rsidRPr="00531C44" w14:paraId="12B06B7D" w14:textId="77777777" w:rsidTr="00522435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FDE8D8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1C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rentowność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sprzedaży mierzona zyskiem ze sprzedaży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9464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zysk ze sprzedaży / przychód ze sprzedaży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85B7" w14:textId="165CE064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3,21%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7899" w14:textId="50BF60A9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3,91%</w:t>
            </w:r>
          </w:p>
        </w:tc>
      </w:tr>
      <w:tr w:rsidR="00522435" w:rsidRPr="00531C44" w14:paraId="006FAFEE" w14:textId="77777777" w:rsidTr="00522435">
        <w:trPr>
          <w:trHeight w:val="38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184F16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rentowność majątku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D11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zysk netto / aktywa 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E95B" w14:textId="765C5F15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0,98%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1C47" w14:textId="54F89EBB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1,03%</w:t>
            </w:r>
          </w:p>
        </w:tc>
      </w:tr>
      <w:tr w:rsidR="00522435" w:rsidRPr="00531C44" w14:paraId="5D0E3564" w14:textId="77777777" w:rsidTr="00522435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BCF2A9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rentowność kapitału własnego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15E4" w14:textId="77777777" w:rsidR="00522435" w:rsidRPr="00531C44" w:rsidRDefault="00522435" w:rsidP="0052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Zysk netto / kapitał własny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7844" w14:textId="327E5181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1,12%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712A" w14:textId="119BC618" w:rsidR="00522435" w:rsidRPr="00531C44" w:rsidRDefault="00522435" w:rsidP="0052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42A3">
              <w:t>1,14%</w:t>
            </w:r>
          </w:p>
        </w:tc>
      </w:tr>
    </w:tbl>
    <w:p w14:paraId="05233511" w14:textId="77777777" w:rsidR="00607949" w:rsidRDefault="00607949" w:rsidP="00607949"/>
    <w:p w14:paraId="36FBCABE" w14:textId="77777777" w:rsidR="003D4882" w:rsidRDefault="003D4882" w:rsidP="00607949">
      <w:pPr>
        <w:jc w:val="both"/>
        <w:rPr>
          <w:i/>
        </w:rPr>
      </w:pPr>
    </w:p>
    <w:p w14:paraId="60198080" w14:textId="77777777" w:rsidR="003D4882" w:rsidRDefault="003D4882" w:rsidP="00607949">
      <w:pPr>
        <w:jc w:val="both"/>
        <w:rPr>
          <w:i/>
        </w:rPr>
      </w:pPr>
    </w:p>
    <w:p w14:paraId="00CDE820" w14:textId="77777777" w:rsidR="003D4882" w:rsidRDefault="003D4882" w:rsidP="00607949">
      <w:pPr>
        <w:jc w:val="both"/>
        <w:rPr>
          <w:i/>
        </w:rPr>
      </w:pPr>
    </w:p>
    <w:p w14:paraId="46508703" w14:textId="4D639813" w:rsidR="00607949" w:rsidRDefault="00607949" w:rsidP="00607949">
      <w:pPr>
        <w:jc w:val="both"/>
      </w:pPr>
      <w:r w:rsidRPr="0032753C">
        <w:rPr>
          <w:i/>
        </w:rPr>
        <w:t>Wskaźnik obrotowości aktywów ogółem informuje o tym</w:t>
      </w:r>
      <w:r>
        <w:rPr>
          <w:i/>
        </w:rPr>
        <w:t>,</w:t>
      </w:r>
      <w:r w:rsidRPr="0032753C">
        <w:rPr>
          <w:i/>
        </w:rPr>
        <w:t xml:space="preserve"> ile złotych przychodu ze sp</w:t>
      </w:r>
      <w:r w:rsidR="00055C93">
        <w:rPr>
          <w:i/>
        </w:rPr>
        <w:t xml:space="preserve">rzedaży przypada na 1 złotówkę </w:t>
      </w:r>
      <w:r w:rsidRPr="0032753C">
        <w:rPr>
          <w:i/>
        </w:rPr>
        <w:t>zaangażowaną w majątku firmy (lub jaką liczbę obrotów wykonał kapitał finansuj</w:t>
      </w:r>
      <w:r w:rsidR="00055C93">
        <w:rPr>
          <w:i/>
        </w:rPr>
        <w:t xml:space="preserve">ący majątek). Im wyższy poziom </w:t>
      </w:r>
      <w:r w:rsidRPr="0032753C">
        <w:rPr>
          <w:i/>
        </w:rPr>
        <w:t>wskaźnika, tym lepsze wykorzystanie majątku.</w:t>
      </w:r>
      <w:r w:rsidRPr="0032753C">
        <w:rPr>
          <w:i/>
        </w:rPr>
        <w:tab/>
      </w:r>
      <w:r>
        <w:tab/>
      </w:r>
    </w:p>
    <w:p w14:paraId="1A584859" w14:textId="28C255C1" w:rsidR="00607949" w:rsidRDefault="00607949" w:rsidP="00607949">
      <w:pPr>
        <w:jc w:val="both"/>
      </w:pPr>
      <w:r>
        <w:tab/>
        <w:t>W roku 20</w:t>
      </w:r>
      <w:r w:rsidR="00920207">
        <w:t>20</w:t>
      </w:r>
      <w:r>
        <w:t xml:space="preserve"> jedna złotówka majątku wygenerowała </w:t>
      </w:r>
      <w:r w:rsidR="002D58C7">
        <w:t>0,</w:t>
      </w:r>
      <w:r w:rsidR="00241EE5">
        <w:t>2</w:t>
      </w:r>
      <w:r w:rsidR="00920207">
        <w:t>8</w:t>
      </w:r>
      <w:r w:rsidR="008A547B">
        <w:t xml:space="preserve"> zł przychodu, a w 201</w:t>
      </w:r>
      <w:r w:rsidR="00920207">
        <w:t>9</w:t>
      </w:r>
      <w:r w:rsidR="00241EE5">
        <w:t xml:space="preserve"> -</w:t>
      </w:r>
      <w:r>
        <w:t xml:space="preserve"> </w:t>
      </w:r>
      <w:r w:rsidR="00241EE5">
        <w:t>0,</w:t>
      </w:r>
      <w:r w:rsidR="00920207">
        <w:t xml:space="preserve">26 </w:t>
      </w:r>
      <w:r w:rsidR="0080011E">
        <w:t>zł przychodu. Odnotowano w</w:t>
      </w:r>
      <w:r>
        <w:t xml:space="preserve"> badany</w:t>
      </w:r>
      <w:r w:rsidR="003D4882">
        <w:t>m</w:t>
      </w:r>
      <w:r>
        <w:t xml:space="preserve"> </w:t>
      </w:r>
      <w:r w:rsidR="0080011E">
        <w:t xml:space="preserve">okresie tendencję </w:t>
      </w:r>
      <w:r w:rsidR="00920207">
        <w:t>wzrostową</w:t>
      </w:r>
      <w:r>
        <w:t xml:space="preserve"> produktywności majątku. </w:t>
      </w:r>
      <w:r>
        <w:tab/>
      </w:r>
    </w:p>
    <w:p w14:paraId="47DC3208" w14:textId="77777777" w:rsidR="00607949" w:rsidRDefault="00607949" w:rsidP="00607949">
      <w:pPr>
        <w:jc w:val="both"/>
      </w:pPr>
      <w:r w:rsidRPr="00122BBD">
        <w:rPr>
          <w:i/>
        </w:rPr>
        <w:t>Wskaźnik obrotowości aktywów trwałych mówi</w:t>
      </w:r>
      <w:r w:rsidRPr="00122BBD">
        <w:rPr>
          <w:i/>
        </w:rPr>
        <w:tab/>
        <w:t xml:space="preserve"> ile złotych przychodu ze sp</w:t>
      </w:r>
      <w:r w:rsidR="00055C93">
        <w:rPr>
          <w:i/>
        </w:rPr>
        <w:t xml:space="preserve">rzedaży przypada na 1 złotówkę </w:t>
      </w:r>
      <w:r w:rsidRPr="0032753C">
        <w:rPr>
          <w:i/>
        </w:rPr>
        <w:t xml:space="preserve">zaangażowaną w majątku </w:t>
      </w:r>
      <w:r>
        <w:rPr>
          <w:i/>
        </w:rPr>
        <w:t xml:space="preserve">trwałym </w:t>
      </w:r>
      <w:r w:rsidRPr="0032753C">
        <w:rPr>
          <w:i/>
        </w:rPr>
        <w:t>firmy (lub jaką liczbę obrotów wykonał kapitał finansujący majątek</w:t>
      </w:r>
      <w:r>
        <w:rPr>
          <w:i/>
        </w:rPr>
        <w:t xml:space="preserve"> trwały</w:t>
      </w:r>
      <w:r w:rsidRPr="0032753C">
        <w:rPr>
          <w:i/>
        </w:rPr>
        <w:t>). Im wyższy poziom  wskaźnika, tym lepsze wykorzystanie majątku</w:t>
      </w:r>
      <w:r>
        <w:rPr>
          <w:i/>
        </w:rPr>
        <w:t xml:space="preserve"> trwałego</w:t>
      </w:r>
      <w:r w:rsidRPr="0032753C">
        <w:rPr>
          <w:i/>
        </w:rPr>
        <w:t>.</w:t>
      </w:r>
      <w:r w:rsidRPr="0032753C">
        <w:rPr>
          <w:i/>
        </w:rPr>
        <w:tab/>
      </w:r>
      <w:r>
        <w:tab/>
      </w:r>
    </w:p>
    <w:p w14:paraId="6578437B" w14:textId="19EEB6E8" w:rsidR="00607949" w:rsidRDefault="00607949" w:rsidP="00607949">
      <w:pPr>
        <w:jc w:val="both"/>
      </w:pPr>
      <w:r>
        <w:tab/>
        <w:t xml:space="preserve">Produktywność aktywów trwałych </w:t>
      </w:r>
      <w:r w:rsidR="0080011E">
        <w:t>w roku 20</w:t>
      </w:r>
      <w:r w:rsidR="00920207">
        <w:t>20</w:t>
      </w:r>
      <w:r w:rsidR="0080011E">
        <w:t xml:space="preserve"> </w:t>
      </w:r>
      <w:r w:rsidR="003D4882">
        <w:t xml:space="preserve">wynosiła 0,28 i </w:t>
      </w:r>
      <w:r w:rsidR="0080011E">
        <w:t xml:space="preserve">była </w:t>
      </w:r>
      <w:r w:rsidR="00920207">
        <w:t>wy</w:t>
      </w:r>
      <w:r w:rsidR="00075AE5">
        <w:t>ższa</w:t>
      </w:r>
      <w:r w:rsidR="0080011E">
        <w:t xml:space="preserve"> </w:t>
      </w:r>
      <w:r w:rsidR="00920207">
        <w:t>niż w roku 2019</w:t>
      </w:r>
      <w:r w:rsidR="003D4882">
        <w:t xml:space="preserve"> o 0,02</w:t>
      </w:r>
      <w:r>
        <w:t>.</w:t>
      </w:r>
      <w:r w:rsidR="008A1A10">
        <w:t xml:space="preserve"> Na każdą złotówkę zaangażowaną w majątku trwałym przypada 0,28 zł przychodu. </w:t>
      </w:r>
      <w:r w:rsidR="003F3084">
        <w:t xml:space="preserve">Nastąpiło </w:t>
      </w:r>
      <w:r w:rsidR="008A1A10">
        <w:t>polepszenie</w:t>
      </w:r>
      <w:r w:rsidR="003F3084">
        <w:t xml:space="preserve"> wykorzystania rzeczowych aktywów trwałych. Wzrost wartości rzeczowych aktywów trwałych przełożył się na proporcjonalny wzrost przychodów ze sprzedaży.</w:t>
      </w:r>
      <w:r w:rsidR="008A1A10">
        <w:t xml:space="preserve"> </w:t>
      </w:r>
    </w:p>
    <w:p w14:paraId="51C1B913" w14:textId="685674EB" w:rsidR="00607949" w:rsidRPr="00122BBD" w:rsidRDefault="00607949" w:rsidP="00607949">
      <w:pPr>
        <w:jc w:val="both"/>
        <w:rPr>
          <w:i/>
        </w:rPr>
      </w:pPr>
      <w:r w:rsidRPr="00122BBD">
        <w:rPr>
          <w:i/>
        </w:rPr>
        <w:t xml:space="preserve">Wskaźnik rotacji zapasów informuje ile razy w roku </w:t>
      </w:r>
      <w:r w:rsidR="006321FF">
        <w:rPr>
          <w:i/>
        </w:rPr>
        <w:t>S</w:t>
      </w:r>
      <w:r w:rsidRPr="00122BBD">
        <w:rPr>
          <w:i/>
        </w:rPr>
        <w:t>półka odnawia zapasy. Niski poziom wskaźnika świadczy o utrzymywaniu nadmiernych zapasów.</w:t>
      </w:r>
    </w:p>
    <w:p w14:paraId="0FE5DD41" w14:textId="6609ED92" w:rsidR="00607949" w:rsidRDefault="00607949" w:rsidP="00607949">
      <w:pPr>
        <w:jc w:val="both"/>
      </w:pPr>
      <w:r>
        <w:tab/>
        <w:t>W  latach 20</w:t>
      </w:r>
      <w:r w:rsidR="00696840">
        <w:t>20</w:t>
      </w:r>
      <w:r>
        <w:t xml:space="preserve"> </w:t>
      </w:r>
      <w:r w:rsidR="00FD10BA">
        <w:t>i 201</w:t>
      </w:r>
      <w:r w:rsidR="00696840">
        <w:t>9</w:t>
      </w:r>
      <w:r>
        <w:t xml:space="preserve"> poziom zapasów w </w:t>
      </w:r>
      <w:r w:rsidR="006321FF">
        <w:t>S</w:t>
      </w:r>
      <w:r>
        <w:t>półce wynosił odpowiednio:</w:t>
      </w:r>
      <w:r w:rsidR="009423B6">
        <w:t xml:space="preserve"> 191,1 i </w:t>
      </w:r>
      <w:r w:rsidR="00283E15">
        <w:t xml:space="preserve">138,7 </w:t>
      </w:r>
      <w:r>
        <w:t xml:space="preserve">tys. zł. Wskaźnik rotacji zapasów </w:t>
      </w:r>
      <w:r w:rsidR="00FD10BA">
        <w:t>w</w:t>
      </w:r>
      <w:r>
        <w:t xml:space="preserve"> roku </w:t>
      </w:r>
      <w:r w:rsidR="00FD10BA">
        <w:t>20</w:t>
      </w:r>
      <w:r w:rsidR="009423B6">
        <w:t>20</w:t>
      </w:r>
      <w:r w:rsidR="00FD10BA">
        <w:t xml:space="preserve"> </w:t>
      </w:r>
      <w:r w:rsidR="009423B6">
        <w:t>spadł</w:t>
      </w:r>
      <w:r w:rsidR="001A6703">
        <w:t xml:space="preserve"> w stosunku do roku 201</w:t>
      </w:r>
      <w:r w:rsidR="009423B6">
        <w:t>9</w:t>
      </w:r>
      <w:r w:rsidR="00550900">
        <w:t>. W 201</w:t>
      </w:r>
      <w:r w:rsidR="009423B6">
        <w:t>9</w:t>
      </w:r>
      <w:r w:rsidR="00550900">
        <w:t xml:space="preserve"> roku obrócono zapasami</w:t>
      </w:r>
      <w:r w:rsidR="00DB7780">
        <w:t xml:space="preserve"> </w:t>
      </w:r>
      <w:r w:rsidR="009423B6">
        <w:t>53,30</w:t>
      </w:r>
      <w:r w:rsidR="00DB7780">
        <w:t xml:space="preserve"> </w:t>
      </w:r>
      <w:r w:rsidR="00550900">
        <w:t>razy a w 20</w:t>
      </w:r>
      <w:r w:rsidR="009423B6">
        <w:t>20</w:t>
      </w:r>
      <w:r w:rsidR="00550900">
        <w:t xml:space="preserve"> </w:t>
      </w:r>
      <w:r w:rsidR="009423B6">
        <w:t>41</w:t>
      </w:r>
      <w:r w:rsidR="00283E15">
        <w:t>,</w:t>
      </w:r>
      <w:r w:rsidR="009423B6">
        <w:t>57</w:t>
      </w:r>
      <w:r w:rsidR="00550900">
        <w:t xml:space="preserve"> razy. Nastąpiło to</w:t>
      </w:r>
      <w:r w:rsidR="00DB7780">
        <w:t xml:space="preserve"> </w:t>
      </w:r>
      <w:r>
        <w:t xml:space="preserve">przy </w:t>
      </w:r>
      <w:r w:rsidR="009423B6">
        <w:t>blisko 40% wzroście stanu zapasów oraz 7,47%</w:t>
      </w:r>
      <w:r w:rsidR="00550900">
        <w:t xml:space="preserve"> wzroście przychodów ze sprzedaży.</w:t>
      </w:r>
    </w:p>
    <w:p w14:paraId="0065C7CE" w14:textId="63F69157" w:rsidR="00607949" w:rsidRPr="003851C1" w:rsidRDefault="00607949" w:rsidP="00607949">
      <w:pPr>
        <w:jc w:val="both"/>
        <w:rPr>
          <w:i/>
        </w:rPr>
      </w:pPr>
      <w:r w:rsidRPr="003851C1">
        <w:rPr>
          <w:i/>
        </w:rPr>
        <w:t xml:space="preserve">Cykl rotacji należności informuje ile razy w ciągu roku </w:t>
      </w:r>
      <w:r w:rsidR="006321FF">
        <w:rPr>
          <w:i/>
        </w:rPr>
        <w:t>S</w:t>
      </w:r>
      <w:r w:rsidRPr="003851C1">
        <w:rPr>
          <w:i/>
        </w:rPr>
        <w:t xml:space="preserve">półka odtwarza stan swoich należności. Standardy określają poziom tego wskaźnika na poziomie od 7 do 10. Niższy poziom świadczy o tym, że klienci </w:t>
      </w:r>
      <w:r w:rsidR="006321FF">
        <w:rPr>
          <w:i/>
        </w:rPr>
        <w:t>S</w:t>
      </w:r>
      <w:r w:rsidRPr="003851C1">
        <w:rPr>
          <w:i/>
        </w:rPr>
        <w:t>półki s</w:t>
      </w:r>
      <w:r>
        <w:rPr>
          <w:i/>
        </w:rPr>
        <w:t>ą</w:t>
      </w:r>
      <w:r w:rsidRPr="003851C1">
        <w:rPr>
          <w:i/>
        </w:rPr>
        <w:t xml:space="preserve"> przez nią zbyt długo kredytowani. Zamrożenie znacznych środków pieniężnych w należnościach może doprowadzić do trudności w ich odzyskaniu.</w:t>
      </w:r>
    </w:p>
    <w:p w14:paraId="5BAEDE5C" w14:textId="049C2063" w:rsidR="00607949" w:rsidRDefault="00FD10BA" w:rsidP="00607949">
      <w:pPr>
        <w:jc w:val="both"/>
      </w:pPr>
      <w:r>
        <w:tab/>
        <w:t xml:space="preserve">W badanym okresie odnotowano </w:t>
      </w:r>
      <w:r w:rsidR="009423B6">
        <w:t>wzrost</w:t>
      </w:r>
      <w:r w:rsidR="00607949">
        <w:t xml:space="preserve"> liczby obrotów należnościami </w:t>
      </w:r>
      <w:r w:rsidR="006321FF">
        <w:t>S</w:t>
      </w:r>
      <w:r w:rsidR="00607949">
        <w:t>półki. Cykl rotacji w 20</w:t>
      </w:r>
      <w:r w:rsidR="009423B6">
        <w:t>20</w:t>
      </w:r>
      <w:r w:rsidR="00607949">
        <w:t xml:space="preserve"> roku wynosił </w:t>
      </w:r>
      <w:r w:rsidR="009423B6">
        <w:t>14,19,</w:t>
      </w:r>
      <w:r w:rsidR="00607949">
        <w:t xml:space="preserve"> a w 201</w:t>
      </w:r>
      <w:r w:rsidR="009423B6">
        <w:t>9</w:t>
      </w:r>
      <w:r w:rsidR="00607949">
        <w:t xml:space="preserve"> roku</w:t>
      </w:r>
      <w:r w:rsidR="009423B6">
        <w:t xml:space="preserve"> 12,09</w:t>
      </w:r>
      <w:r w:rsidR="00607949">
        <w:t xml:space="preserve">. Oznacza to </w:t>
      </w:r>
      <w:r w:rsidR="002212C7">
        <w:t>szybsze</w:t>
      </w:r>
      <w:r w:rsidR="00607949">
        <w:t xml:space="preserve"> odzyskiwanie należności</w:t>
      </w:r>
      <w:r w:rsidR="00B761C4">
        <w:t>. Jednak</w:t>
      </w:r>
      <w:r w:rsidR="00607949">
        <w:t xml:space="preserve"> </w:t>
      </w:r>
      <w:r w:rsidR="00B761C4">
        <w:t xml:space="preserve">zauważyć należy, że na </w:t>
      </w:r>
      <w:r w:rsidR="002212C7">
        <w:t>wzrost</w:t>
      </w:r>
      <w:r w:rsidR="00B761C4">
        <w:t xml:space="preserve"> rotacji w 20</w:t>
      </w:r>
      <w:r w:rsidR="009423B6">
        <w:t>20</w:t>
      </w:r>
      <w:r w:rsidR="00B761C4">
        <w:t xml:space="preserve"> roku znaczny wpływ ma</w:t>
      </w:r>
      <w:r w:rsidR="002212C7">
        <w:t xml:space="preserve"> obniżenie</w:t>
      </w:r>
      <w:r w:rsidR="00B761C4">
        <w:t xml:space="preserve"> należności z tytułu podatku VAT do zwrotu.</w:t>
      </w:r>
    </w:p>
    <w:p w14:paraId="5E9555EC" w14:textId="77777777" w:rsidR="00607949" w:rsidRPr="00214EAF" w:rsidRDefault="00607949" w:rsidP="00607949">
      <w:pPr>
        <w:jc w:val="both"/>
        <w:rPr>
          <w:i/>
        </w:rPr>
      </w:pPr>
      <w:r w:rsidRPr="00214EAF">
        <w:rPr>
          <w:i/>
        </w:rPr>
        <w:t>Wskaźnik rentowności sprzedaży mierzonej zyskiem netto pokazuje ile procent sprzedaży stanowi marża zysku po odliczeniu wszystkich kosztów i zapłaceniu podatków.</w:t>
      </w:r>
      <w:r>
        <w:rPr>
          <w:i/>
        </w:rPr>
        <w:t xml:space="preserve"> </w:t>
      </w:r>
    </w:p>
    <w:p w14:paraId="220E398B" w14:textId="20DFAC7B" w:rsidR="00607949" w:rsidRDefault="00607949" w:rsidP="00607949">
      <w:pPr>
        <w:jc w:val="both"/>
        <w:rPr>
          <w:color w:val="FF0000"/>
        </w:rPr>
      </w:pPr>
      <w:r>
        <w:t>W 20</w:t>
      </w:r>
      <w:r w:rsidR="007830CE">
        <w:t>20</w:t>
      </w:r>
      <w:r>
        <w:t xml:space="preserve"> roku 100,00 zł sprzedaży  przyniosło </w:t>
      </w:r>
      <w:r w:rsidR="00522435">
        <w:t>3,74</w:t>
      </w:r>
      <w:r>
        <w:t xml:space="preserve"> zł zysku netto, </w:t>
      </w:r>
      <w:r w:rsidR="00522435">
        <w:t>o 0,02 zł więcej niż w roku ubiegłym</w:t>
      </w:r>
      <w:r w:rsidR="00537E23">
        <w:t>.</w:t>
      </w:r>
      <w:r>
        <w:t xml:space="preserve"> </w:t>
      </w:r>
    </w:p>
    <w:p w14:paraId="16C2582C" w14:textId="77777777" w:rsidR="00607949" w:rsidRPr="00CA7D0F" w:rsidRDefault="00607949" w:rsidP="00607949">
      <w:pPr>
        <w:jc w:val="both"/>
      </w:pPr>
      <w:r w:rsidRPr="00214EAF">
        <w:rPr>
          <w:i/>
        </w:rPr>
        <w:t>Wskaźnik rentowności sprzedaży mierzonej zyskiem</w:t>
      </w:r>
      <w:r>
        <w:rPr>
          <w:i/>
        </w:rPr>
        <w:t xml:space="preserve"> ze sprzedaży informuje ile procent sprzedaży stanowi marża zysku na sprzedaży.</w:t>
      </w:r>
    </w:p>
    <w:p w14:paraId="38BD5F2F" w14:textId="6FB20AB2" w:rsidR="00607949" w:rsidRDefault="00607949" w:rsidP="00607949">
      <w:pPr>
        <w:jc w:val="both"/>
      </w:pPr>
      <w:r>
        <w:tab/>
      </w:r>
      <w:r w:rsidR="002212C7">
        <w:t>W</w:t>
      </w:r>
      <w:r w:rsidR="007111F5">
        <w:t xml:space="preserve"> </w:t>
      </w:r>
      <w:r w:rsidR="002212C7">
        <w:t>latach 20</w:t>
      </w:r>
      <w:r w:rsidR="007830CE">
        <w:t>20</w:t>
      </w:r>
      <w:r w:rsidR="002212C7">
        <w:t xml:space="preserve"> i </w:t>
      </w:r>
      <w:r w:rsidR="007111F5">
        <w:t>20</w:t>
      </w:r>
      <w:r w:rsidR="007830CE">
        <w:t>19</w:t>
      </w:r>
      <w:r>
        <w:t xml:space="preserve"> 100,00 zł </w:t>
      </w:r>
      <w:r w:rsidR="007111F5">
        <w:t xml:space="preserve">przychodów ze </w:t>
      </w:r>
      <w:r>
        <w:t xml:space="preserve">sprzedaży generowało </w:t>
      </w:r>
      <w:r w:rsidR="002212C7">
        <w:t xml:space="preserve">odpowiednio </w:t>
      </w:r>
      <w:r w:rsidR="00522435">
        <w:t>3,91</w:t>
      </w:r>
      <w:r w:rsidR="002212C7">
        <w:t xml:space="preserve"> zł oraz </w:t>
      </w:r>
      <w:r w:rsidR="00522435">
        <w:t>3,21</w:t>
      </w:r>
      <w:r w:rsidR="007111F5">
        <w:t xml:space="preserve"> zł zysku ze sprzedaży.</w:t>
      </w:r>
      <w:r w:rsidR="008E2603">
        <w:t xml:space="preserve"> W 20</w:t>
      </w:r>
      <w:r w:rsidR="007830CE">
        <w:t>20</w:t>
      </w:r>
      <w:r>
        <w:t xml:space="preserve"> roku, w po</w:t>
      </w:r>
      <w:r w:rsidR="008E2603">
        <w:t>równaniu z rokiem 201</w:t>
      </w:r>
      <w:r w:rsidR="007830CE">
        <w:t>9</w:t>
      </w:r>
      <w:r>
        <w:t xml:space="preserve">, przyrost przychodów ze sprzedaży wyniósł </w:t>
      </w:r>
      <w:r w:rsidR="007830CE">
        <w:t>7,47</w:t>
      </w:r>
      <w:r>
        <w:t xml:space="preserve">%, a przyrost </w:t>
      </w:r>
      <w:r w:rsidR="007830CE">
        <w:t>zysku ze sprzedaży wyni</w:t>
      </w:r>
      <w:r>
        <w:t xml:space="preserve">ósł </w:t>
      </w:r>
      <w:r w:rsidR="007830CE">
        <w:t>30,89</w:t>
      </w:r>
      <w:r>
        <w:t xml:space="preserve">%. </w:t>
      </w:r>
    </w:p>
    <w:p w14:paraId="1C514162" w14:textId="744603AC" w:rsidR="006321FF" w:rsidRDefault="006321FF" w:rsidP="00607949">
      <w:pPr>
        <w:jc w:val="both"/>
      </w:pPr>
    </w:p>
    <w:p w14:paraId="3D07CABB" w14:textId="77777777" w:rsidR="006321FF" w:rsidRDefault="006321FF" w:rsidP="00607949">
      <w:pPr>
        <w:jc w:val="both"/>
      </w:pPr>
    </w:p>
    <w:p w14:paraId="53F967B0" w14:textId="77777777" w:rsidR="00607949" w:rsidRPr="008E3DA6" w:rsidRDefault="00607949" w:rsidP="00607949">
      <w:pPr>
        <w:jc w:val="both"/>
        <w:rPr>
          <w:i/>
        </w:rPr>
      </w:pPr>
      <w:r w:rsidRPr="008E3DA6">
        <w:rPr>
          <w:i/>
        </w:rPr>
        <w:t>Wskaźnik rentowności majątku informuje o efektywności wykorzystania majątku. Wzrost wartości wskaźnika oznacza zwiększenie efektywności.</w:t>
      </w:r>
    </w:p>
    <w:p w14:paraId="220BAE12" w14:textId="5819D31D" w:rsidR="00607949" w:rsidRDefault="00607949" w:rsidP="00607949">
      <w:pPr>
        <w:jc w:val="both"/>
      </w:pPr>
      <w:r>
        <w:tab/>
      </w:r>
      <w:r w:rsidR="00012805">
        <w:t xml:space="preserve">Efektywność wykorzystania majątku w </w:t>
      </w:r>
      <w:r w:rsidR="00522435">
        <w:t>roku</w:t>
      </w:r>
      <w:r w:rsidR="00012805">
        <w:t xml:space="preserve"> 20</w:t>
      </w:r>
      <w:r w:rsidR="007830CE">
        <w:t>20</w:t>
      </w:r>
      <w:r w:rsidR="00B13050">
        <w:t xml:space="preserve"> ukształtowała się</w:t>
      </w:r>
      <w:r w:rsidR="003B3690">
        <w:t xml:space="preserve"> </w:t>
      </w:r>
      <w:r w:rsidR="00B13050">
        <w:t>na poziomie</w:t>
      </w:r>
      <w:r w:rsidR="003B3690">
        <w:t xml:space="preserve"> </w:t>
      </w:r>
      <w:r w:rsidR="00522435">
        <w:t>1,03%</w:t>
      </w:r>
      <w:r w:rsidR="00504D09">
        <w:t xml:space="preserve">. </w:t>
      </w:r>
      <w:r w:rsidR="00522435">
        <w:t>Oznacza to wzrost w stosunku do rok 2019 o 0,05 p.p. K</w:t>
      </w:r>
      <w:r w:rsidR="00504D09">
        <w:t>ażd</w:t>
      </w:r>
      <w:r w:rsidR="00522435">
        <w:t>a</w:t>
      </w:r>
      <w:r w:rsidR="00504D09">
        <w:t xml:space="preserve"> złotówka majątku wygenerowała</w:t>
      </w:r>
      <w:r w:rsidR="004F6708">
        <w:t xml:space="preserve"> </w:t>
      </w:r>
      <w:r w:rsidR="003B3690">
        <w:t>1</w:t>
      </w:r>
      <w:r w:rsidR="00504D09">
        <w:t xml:space="preserve"> grosz</w:t>
      </w:r>
      <w:r w:rsidR="003B3690">
        <w:t xml:space="preserve"> </w:t>
      </w:r>
      <w:r w:rsidR="00504D09">
        <w:t>zysku</w:t>
      </w:r>
      <w:r w:rsidR="00017938">
        <w:t xml:space="preserve"> netto</w:t>
      </w:r>
      <w:r w:rsidR="004F6708">
        <w:t>.</w:t>
      </w:r>
      <w:r w:rsidR="00504D09">
        <w:t xml:space="preserve"> </w:t>
      </w:r>
    </w:p>
    <w:p w14:paraId="3521A7EE" w14:textId="77777777" w:rsidR="00607949" w:rsidRPr="008E3DA6" w:rsidRDefault="00607949" w:rsidP="00607949">
      <w:pPr>
        <w:jc w:val="both"/>
        <w:rPr>
          <w:i/>
        </w:rPr>
      </w:pPr>
      <w:r w:rsidRPr="008E3DA6">
        <w:rPr>
          <w:i/>
        </w:rPr>
        <w:t>Wskaźnik rentowności kapitał</w:t>
      </w:r>
      <w:r>
        <w:rPr>
          <w:i/>
        </w:rPr>
        <w:t>u</w:t>
      </w:r>
      <w:r w:rsidRPr="008E3DA6">
        <w:rPr>
          <w:i/>
        </w:rPr>
        <w:t xml:space="preserve"> własnego określa stopę zyskowności zainwestowanych w firmie kapitałów własnych.</w:t>
      </w:r>
    </w:p>
    <w:p w14:paraId="6734228F" w14:textId="73D82388" w:rsidR="00607949" w:rsidRDefault="00607949" w:rsidP="00607949">
      <w:pPr>
        <w:jc w:val="both"/>
      </w:pPr>
      <w:r>
        <w:tab/>
      </w:r>
      <w:r w:rsidR="00504D09">
        <w:t>Z</w:t>
      </w:r>
      <w:r>
        <w:t>a</w:t>
      </w:r>
      <w:r w:rsidR="00504D09">
        <w:t>inwestowane przez właściciela</w:t>
      </w:r>
      <w:r>
        <w:t xml:space="preserve"> w </w:t>
      </w:r>
      <w:r w:rsidR="006321FF">
        <w:t>S</w:t>
      </w:r>
      <w:r>
        <w:t>pół</w:t>
      </w:r>
      <w:r w:rsidR="00017938">
        <w:t>kę</w:t>
      </w:r>
      <w:r>
        <w:t xml:space="preserve"> środk</w:t>
      </w:r>
      <w:r w:rsidR="00504D09">
        <w:t>i</w:t>
      </w:r>
      <w:r w:rsidR="00017938">
        <w:t>,</w:t>
      </w:r>
      <w:r>
        <w:t xml:space="preserve"> </w:t>
      </w:r>
      <w:r w:rsidR="00017938">
        <w:t>zarówno w roku 20</w:t>
      </w:r>
      <w:r w:rsidR="007830CE">
        <w:t>20</w:t>
      </w:r>
      <w:r w:rsidR="00017938">
        <w:t xml:space="preserve"> jak i w 201</w:t>
      </w:r>
      <w:r w:rsidR="007830CE">
        <w:t>9</w:t>
      </w:r>
      <w:r w:rsidR="00017938">
        <w:t xml:space="preserve">, zostały efektywnie wykorzystane.  </w:t>
      </w:r>
      <w:r w:rsidR="00525BEB">
        <w:t xml:space="preserve">W obu latach </w:t>
      </w:r>
      <w:r>
        <w:t xml:space="preserve">rentowność </w:t>
      </w:r>
      <w:r w:rsidR="00B13050">
        <w:t>kapitału własnego była dodatnia i</w:t>
      </w:r>
      <w:r>
        <w:t xml:space="preserve"> </w:t>
      </w:r>
      <w:r w:rsidR="00525BEB">
        <w:t xml:space="preserve">wyniosła </w:t>
      </w:r>
      <w:r w:rsidR="00B13050">
        <w:t>w 20</w:t>
      </w:r>
      <w:r w:rsidR="007830CE">
        <w:t>20</w:t>
      </w:r>
      <w:r w:rsidR="00B13050">
        <w:t xml:space="preserve"> roku </w:t>
      </w:r>
      <w:r w:rsidR="007830CE">
        <w:t>1,14</w:t>
      </w:r>
      <w:r>
        <w:t>%</w:t>
      </w:r>
      <w:r w:rsidR="00B13050">
        <w:t>, a w 201</w:t>
      </w:r>
      <w:r w:rsidR="0061741F">
        <w:t>9</w:t>
      </w:r>
      <w:r w:rsidR="00B13050">
        <w:t xml:space="preserve"> roku </w:t>
      </w:r>
      <w:r w:rsidR="007830CE">
        <w:t>1,12</w:t>
      </w:r>
      <w:r w:rsidR="00B13050">
        <w:t>%</w:t>
      </w:r>
      <w:r w:rsidR="00B35AAF">
        <w:t>.</w:t>
      </w:r>
    </w:p>
    <w:p w14:paraId="561EC4A1" w14:textId="77777777" w:rsidR="00607949" w:rsidRDefault="00607949" w:rsidP="00607949">
      <w:pPr>
        <w:jc w:val="both"/>
      </w:pPr>
    </w:p>
    <w:p w14:paraId="756A37EA" w14:textId="2DBDE916" w:rsidR="00607949" w:rsidRPr="00C61091" w:rsidRDefault="00607949" w:rsidP="00607949">
      <w:pPr>
        <w:jc w:val="both"/>
        <w:rPr>
          <w:b/>
        </w:rPr>
      </w:pPr>
      <w:r>
        <w:tab/>
      </w:r>
      <w:r w:rsidRPr="00C61091">
        <w:rPr>
          <w:b/>
        </w:rPr>
        <w:t>Podsumowanie</w:t>
      </w:r>
      <w:r>
        <w:rPr>
          <w:b/>
        </w:rPr>
        <w:t xml:space="preserve"> lat 20</w:t>
      </w:r>
      <w:r w:rsidR="007830CE">
        <w:rPr>
          <w:b/>
        </w:rPr>
        <w:t>20</w:t>
      </w:r>
      <w:r w:rsidR="00B80E7E">
        <w:rPr>
          <w:b/>
        </w:rPr>
        <w:t xml:space="preserve"> i 201</w:t>
      </w:r>
      <w:r w:rsidR="007830CE">
        <w:rPr>
          <w:b/>
        </w:rPr>
        <w:t>9</w:t>
      </w:r>
      <w:r w:rsidR="00B13050">
        <w:rPr>
          <w:b/>
        </w:rPr>
        <w:t>.</w:t>
      </w:r>
    </w:p>
    <w:p w14:paraId="06F00DA3" w14:textId="259BA32E" w:rsidR="00607949" w:rsidRDefault="00607949" w:rsidP="000E5163">
      <w:pPr>
        <w:ind w:left="708"/>
        <w:jc w:val="both"/>
      </w:pPr>
      <w:r>
        <w:t xml:space="preserve">W </w:t>
      </w:r>
      <w:r w:rsidR="006321FF">
        <w:t>S</w:t>
      </w:r>
      <w:r>
        <w:t>półce zachowana jest płynność finansowa – firma posiada zdolność do regulo</w:t>
      </w:r>
      <w:r w:rsidR="000E5163">
        <w:t>wania zaciągniętych zobowiązań, w 20</w:t>
      </w:r>
      <w:r w:rsidR="007830CE">
        <w:t>20</w:t>
      </w:r>
      <w:r w:rsidR="000E5163">
        <w:t xml:space="preserve"> roku poziom płynności </w:t>
      </w:r>
      <w:r w:rsidR="007830CE">
        <w:t>wzrósł</w:t>
      </w:r>
      <w:r w:rsidR="000E5163">
        <w:t xml:space="preserve"> się w porównaniu z 20</w:t>
      </w:r>
      <w:r w:rsidR="007830CE">
        <w:t>19</w:t>
      </w:r>
      <w:r w:rsidR="000E5163">
        <w:t xml:space="preserve"> rokiem.</w:t>
      </w:r>
    </w:p>
    <w:p w14:paraId="4247E2FB" w14:textId="77777777" w:rsidR="00607949" w:rsidRDefault="00607949" w:rsidP="00B35AAF">
      <w:pPr>
        <w:ind w:left="705"/>
        <w:jc w:val="both"/>
      </w:pPr>
      <w:r>
        <w:t xml:space="preserve">Kapitał własny i zobowiązania długoterminowe </w:t>
      </w:r>
      <w:r w:rsidR="00B35AAF">
        <w:t xml:space="preserve">nie </w:t>
      </w:r>
      <w:r>
        <w:t xml:space="preserve">finansują </w:t>
      </w:r>
      <w:r w:rsidR="00B35AAF">
        <w:t xml:space="preserve">w całości </w:t>
      </w:r>
      <w:r>
        <w:t>majątk</w:t>
      </w:r>
      <w:r w:rsidR="00B35AAF">
        <w:t>u</w:t>
      </w:r>
      <w:r>
        <w:t xml:space="preserve"> trwał</w:t>
      </w:r>
      <w:r w:rsidR="00B35AAF">
        <w:t>ego, co jest wynikiem przyjętej przez firmę polityki rachunkowości</w:t>
      </w:r>
      <w:r>
        <w:t>.</w:t>
      </w:r>
    </w:p>
    <w:p w14:paraId="5ADB9CEF" w14:textId="1D5C4D8B" w:rsidR="000E5163" w:rsidRDefault="000E5163" w:rsidP="00607949">
      <w:pPr>
        <w:jc w:val="both"/>
      </w:pPr>
      <w:r>
        <w:tab/>
        <w:t>Obrotowość aktywów w 20</w:t>
      </w:r>
      <w:r w:rsidR="007830CE">
        <w:t>20</w:t>
      </w:r>
      <w:r>
        <w:t xml:space="preserve"> roku jest </w:t>
      </w:r>
      <w:r w:rsidR="007830CE">
        <w:t>wyższa</w:t>
      </w:r>
      <w:r>
        <w:t xml:space="preserve"> niż w 201</w:t>
      </w:r>
      <w:r w:rsidR="007830CE">
        <w:t>9</w:t>
      </w:r>
      <w:r>
        <w:t>.</w:t>
      </w:r>
    </w:p>
    <w:p w14:paraId="3620704A" w14:textId="475923AC" w:rsidR="00607949" w:rsidRDefault="000E5163" w:rsidP="00B35AAF">
      <w:pPr>
        <w:ind w:left="708"/>
        <w:jc w:val="both"/>
      </w:pPr>
      <w:r>
        <w:t xml:space="preserve">Rentowność sprzedaży </w:t>
      </w:r>
      <w:r w:rsidR="00B35AAF">
        <w:t xml:space="preserve">mierzona zyskiem netto </w:t>
      </w:r>
      <w:r>
        <w:t>w 20</w:t>
      </w:r>
      <w:r w:rsidR="007830CE">
        <w:t>20</w:t>
      </w:r>
      <w:r>
        <w:t xml:space="preserve"> roku była na poziomie roku 201</w:t>
      </w:r>
      <w:r w:rsidR="00503300">
        <w:t>9</w:t>
      </w:r>
      <w:r w:rsidR="00B35AAF">
        <w:t xml:space="preserve">, natomiast rentowność sprzedaży mierzona zyskiem ze sprzedaży </w:t>
      </w:r>
      <w:r w:rsidR="00503300">
        <w:t>w roku 2020 wzrosła</w:t>
      </w:r>
      <w:r>
        <w:t>.</w:t>
      </w:r>
    </w:p>
    <w:p w14:paraId="15809D34" w14:textId="395A06C8" w:rsidR="000E5163" w:rsidRDefault="00607949" w:rsidP="00607949">
      <w:pPr>
        <w:jc w:val="both"/>
      </w:pPr>
      <w:r>
        <w:tab/>
      </w:r>
      <w:r w:rsidR="000E5163">
        <w:t xml:space="preserve">Rentowność majątku </w:t>
      </w:r>
      <w:r w:rsidR="00B35AAF">
        <w:t xml:space="preserve">w roku </w:t>
      </w:r>
      <w:r w:rsidR="00503300">
        <w:t>2020 wyższa niż 2019 roku</w:t>
      </w:r>
      <w:r w:rsidR="000E5163">
        <w:t>.</w:t>
      </w:r>
    </w:p>
    <w:p w14:paraId="021B90F6" w14:textId="0A9624DF" w:rsidR="00607949" w:rsidRDefault="000E5163" w:rsidP="000E5163">
      <w:pPr>
        <w:ind w:left="708"/>
        <w:jc w:val="both"/>
      </w:pPr>
      <w:r>
        <w:t>Kapitał własny wykazał w 20</w:t>
      </w:r>
      <w:r w:rsidR="00503300">
        <w:t xml:space="preserve">20 </w:t>
      </w:r>
      <w:r>
        <w:t xml:space="preserve">roku </w:t>
      </w:r>
      <w:r w:rsidR="00503300">
        <w:t>wyższą</w:t>
      </w:r>
      <w:r>
        <w:t xml:space="preserve"> zyskowność w porównaniu z rokiem poprzednim.</w:t>
      </w:r>
    </w:p>
    <w:p w14:paraId="7694E243" w14:textId="77777777" w:rsidR="00607949" w:rsidRPr="00CA7D0F" w:rsidRDefault="00607949" w:rsidP="000E5163">
      <w:pPr>
        <w:jc w:val="both"/>
      </w:pPr>
      <w:r>
        <w:tab/>
      </w:r>
    </w:p>
    <w:p w14:paraId="48B92DAF" w14:textId="77777777" w:rsidR="00101BEE" w:rsidRDefault="00101BEE" w:rsidP="00101BEE"/>
    <w:p w14:paraId="031A8166" w14:textId="77777777" w:rsidR="00101BEE" w:rsidRDefault="00101BEE" w:rsidP="00101BEE">
      <w:r>
        <w:t xml:space="preserve"> </w:t>
      </w:r>
    </w:p>
    <w:p w14:paraId="2AE2CBF8" w14:textId="77777777" w:rsidR="00A10CDD" w:rsidRPr="00664D68" w:rsidRDefault="00664D68" w:rsidP="00664D68">
      <w:pPr>
        <w:tabs>
          <w:tab w:val="left" w:pos="3907"/>
        </w:tabs>
        <w:jc w:val="both"/>
      </w:pPr>
      <w:r>
        <w:rPr>
          <w:sz w:val="32"/>
          <w:szCs w:val="32"/>
        </w:rPr>
        <w:tab/>
      </w:r>
    </w:p>
    <w:sectPr w:rsidR="00A10CDD" w:rsidRPr="00664D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60B74" w14:textId="77777777" w:rsidR="00A553DB" w:rsidRDefault="00A553DB" w:rsidP="00AE15D4">
      <w:pPr>
        <w:spacing w:after="0" w:line="240" w:lineRule="auto"/>
      </w:pPr>
      <w:r>
        <w:separator/>
      </w:r>
    </w:p>
  </w:endnote>
  <w:endnote w:type="continuationSeparator" w:id="0">
    <w:p w14:paraId="628F10F2" w14:textId="77777777" w:rsidR="00A553DB" w:rsidRDefault="00A553DB" w:rsidP="00AE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9F3D" w14:textId="77777777" w:rsidR="00AE15D4" w:rsidRDefault="00AE15D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9152F" w:rsidRPr="0049152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F2DC1C0" w14:textId="77777777" w:rsidR="00AE15D4" w:rsidRDefault="00AE1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30C9" w14:textId="77777777" w:rsidR="00A553DB" w:rsidRDefault="00A553DB" w:rsidP="00AE15D4">
      <w:pPr>
        <w:spacing w:after="0" w:line="240" w:lineRule="auto"/>
      </w:pPr>
      <w:r>
        <w:separator/>
      </w:r>
    </w:p>
  </w:footnote>
  <w:footnote w:type="continuationSeparator" w:id="0">
    <w:p w14:paraId="7698E259" w14:textId="77777777" w:rsidR="00A553DB" w:rsidRDefault="00A553DB" w:rsidP="00AE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11E"/>
    <w:multiLevelType w:val="multilevel"/>
    <w:tmpl w:val="58E82AB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3CB34EAF"/>
    <w:multiLevelType w:val="hybridMultilevel"/>
    <w:tmpl w:val="42BC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1327C"/>
    <w:multiLevelType w:val="multilevel"/>
    <w:tmpl w:val="FD822B14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8"/>
    <w:rsid w:val="00012805"/>
    <w:rsid w:val="00017938"/>
    <w:rsid w:val="000474B3"/>
    <w:rsid w:val="0005182D"/>
    <w:rsid w:val="00055C93"/>
    <w:rsid w:val="00062483"/>
    <w:rsid w:val="00075AE5"/>
    <w:rsid w:val="00086CF8"/>
    <w:rsid w:val="000D358D"/>
    <w:rsid w:val="000E5163"/>
    <w:rsid w:val="000F3F52"/>
    <w:rsid w:val="00101BEE"/>
    <w:rsid w:val="00126F69"/>
    <w:rsid w:val="001448EA"/>
    <w:rsid w:val="0014694E"/>
    <w:rsid w:val="00175852"/>
    <w:rsid w:val="001A6703"/>
    <w:rsid w:val="001C493B"/>
    <w:rsid w:val="001E2197"/>
    <w:rsid w:val="002212C7"/>
    <w:rsid w:val="00241EE5"/>
    <w:rsid w:val="00263932"/>
    <w:rsid w:val="0028322C"/>
    <w:rsid w:val="00283E15"/>
    <w:rsid w:val="00294B7D"/>
    <w:rsid w:val="002A5ED3"/>
    <w:rsid w:val="002D58C7"/>
    <w:rsid w:val="002F04CF"/>
    <w:rsid w:val="002F106B"/>
    <w:rsid w:val="002F1D7A"/>
    <w:rsid w:val="00327187"/>
    <w:rsid w:val="0033606A"/>
    <w:rsid w:val="00351AE8"/>
    <w:rsid w:val="003761CF"/>
    <w:rsid w:val="00377CBA"/>
    <w:rsid w:val="00382D88"/>
    <w:rsid w:val="00384466"/>
    <w:rsid w:val="003B0768"/>
    <w:rsid w:val="003B3690"/>
    <w:rsid w:val="003B77E0"/>
    <w:rsid w:val="003D4882"/>
    <w:rsid w:val="003F3084"/>
    <w:rsid w:val="004118B8"/>
    <w:rsid w:val="00411B12"/>
    <w:rsid w:val="00413979"/>
    <w:rsid w:val="00427C78"/>
    <w:rsid w:val="004307D9"/>
    <w:rsid w:val="0046495E"/>
    <w:rsid w:val="004674C0"/>
    <w:rsid w:val="0049152F"/>
    <w:rsid w:val="004A0360"/>
    <w:rsid w:val="004D0146"/>
    <w:rsid w:val="004D23C0"/>
    <w:rsid w:val="004F44A9"/>
    <w:rsid w:val="004F4A22"/>
    <w:rsid w:val="004F6708"/>
    <w:rsid w:val="00503300"/>
    <w:rsid w:val="00504D09"/>
    <w:rsid w:val="00515363"/>
    <w:rsid w:val="00522435"/>
    <w:rsid w:val="00525BEB"/>
    <w:rsid w:val="00537E23"/>
    <w:rsid w:val="00547ECD"/>
    <w:rsid w:val="00550900"/>
    <w:rsid w:val="00585831"/>
    <w:rsid w:val="005B0073"/>
    <w:rsid w:val="005B31C1"/>
    <w:rsid w:val="005B7C3D"/>
    <w:rsid w:val="005C56BD"/>
    <w:rsid w:val="005D7B9F"/>
    <w:rsid w:val="00606021"/>
    <w:rsid w:val="00607949"/>
    <w:rsid w:val="00615DD3"/>
    <w:rsid w:val="0061741F"/>
    <w:rsid w:val="006321FF"/>
    <w:rsid w:val="00632CFD"/>
    <w:rsid w:val="006471D1"/>
    <w:rsid w:val="00664D68"/>
    <w:rsid w:val="00683687"/>
    <w:rsid w:val="00696840"/>
    <w:rsid w:val="006A47C8"/>
    <w:rsid w:val="006D7A9D"/>
    <w:rsid w:val="007022F1"/>
    <w:rsid w:val="007111F5"/>
    <w:rsid w:val="0071733C"/>
    <w:rsid w:val="00752077"/>
    <w:rsid w:val="00752D9C"/>
    <w:rsid w:val="00781EFD"/>
    <w:rsid w:val="00782DA7"/>
    <w:rsid w:val="007830CE"/>
    <w:rsid w:val="00793FF9"/>
    <w:rsid w:val="00794E38"/>
    <w:rsid w:val="007A68C6"/>
    <w:rsid w:val="007C1F4F"/>
    <w:rsid w:val="007F66F5"/>
    <w:rsid w:val="0080011E"/>
    <w:rsid w:val="008273AB"/>
    <w:rsid w:val="00831890"/>
    <w:rsid w:val="00885026"/>
    <w:rsid w:val="00892A2F"/>
    <w:rsid w:val="00892C7C"/>
    <w:rsid w:val="008A1A10"/>
    <w:rsid w:val="008A547B"/>
    <w:rsid w:val="008A6E3B"/>
    <w:rsid w:val="008B40CC"/>
    <w:rsid w:val="008D745D"/>
    <w:rsid w:val="008E0664"/>
    <w:rsid w:val="008E2603"/>
    <w:rsid w:val="00920207"/>
    <w:rsid w:val="009423B6"/>
    <w:rsid w:val="00961AC9"/>
    <w:rsid w:val="00982AD6"/>
    <w:rsid w:val="009962FF"/>
    <w:rsid w:val="009A2DD2"/>
    <w:rsid w:val="009D04D2"/>
    <w:rsid w:val="009F1CA5"/>
    <w:rsid w:val="00A10CDD"/>
    <w:rsid w:val="00A40B90"/>
    <w:rsid w:val="00A553DB"/>
    <w:rsid w:val="00A55DEB"/>
    <w:rsid w:val="00AA541D"/>
    <w:rsid w:val="00AE15D4"/>
    <w:rsid w:val="00AE7B9E"/>
    <w:rsid w:val="00B0427D"/>
    <w:rsid w:val="00B11549"/>
    <w:rsid w:val="00B13050"/>
    <w:rsid w:val="00B35AAF"/>
    <w:rsid w:val="00B72BC7"/>
    <w:rsid w:val="00B761C4"/>
    <w:rsid w:val="00B80E7E"/>
    <w:rsid w:val="00BE5D95"/>
    <w:rsid w:val="00BF605F"/>
    <w:rsid w:val="00C27058"/>
    <w:rsid w:val="00C42EC3"/>
    <w:rsid w:val="00C47C5E"/>
    <w:rsid w:val="00C66310"/>
    <w:rsid w:val="00C74521"/>
    <w:rsid w:val="00C91F4B"/>
    <w:rsid w:val="00CE68CB"/>
    <w:rsid w:val="00D01F08"/>
    <w:rsid w:val="00D1711F"/>
    <w:rsid w:val="00D62CDE"/>
    <w:rsid w:val="00D64356"/>
    <w:rsid w:val="00D643D4"/>
    <w:rsid w:val="00D7006C"/>
    <w:rsid w:val="00DB4E7E"/>
    <w:rsid w:val="00DB7780"/>
    <w:rsid w:val="00DC52A9"/>
    <w:rsid w:val="00DC6155"/>
    <w:rsid w:val="00DF06BB"/>
    <w:rsid w:val="00E0231E"/>
    <w:rsid w:val="00E3585E"/>
    <w:rsid w:val="00E46D12"/>
    <w:rsid w:val="00E510AE"/>
    <w:rsid w:val="00E60E0A"/>
    <w:rsid w:val="00E60E6D"/>
    <w:rsid w:val="00E74A54"/>
    <w:rsid w:val="00E866DB"/>
    <w:rsid w:val="00EA7902"/>
    <w:rsid w:val="00EE4517"/>
    <w:rsid w:val="00F2227D"/>
    <w:rsid w:val="00F301D1"/>
    <w:rsid w:val="00F302CE"/>
    <w:rsid w:val="00F415CB"/>
    <w:rsid w:val="00F4708D"/>
    <w:rsid w:val="00F55785"/>
    <w:rsid w:val="00F57CEF"/>
    <w:rsid w:val="00F75C42"/>
    <w:rsid w:val="00F77EB6"/>
    <w:rsid w:val="00FA2AFC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35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5D4"/>
  </w:style>
  <w:style w:type="paragraph" w:styleId="Stopka">
    <w:name w:val="footer"/>
    <w:basedOn w:val="Normalny"/>
    <w:link w:val="StopkaZnak"/>
    <w:uiPriority w:val="99"/>
    <w:unhideWhenUsed/>
    <w:rsid w:val="00AE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35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5D4"/>
  </w:style>
  <w:style w:type="paragraph" w:styleId="Stopka">
    <w:name w:val="footer"/>
    <w:basedOn w:val="Normalny"/>
    <w:link w:val="StopkaZnak"/>
    <w:uiPriority w:val="99"/>
    <w:unhideWhenUsed/>
    <w:rsid w:val="00AE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3F1C-DF19-416B-AFD7-EF2B9836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Nowak</dc:creator>
  <cp:lastModifiedBy>Ksiegowosc</cp:lastModifiedBy>
  <cp:revision>2</cp:revision>
  <cp:lastPrinted>2021-03-25T12:05:00Z</cp:lastPrinted>
  <dcterms:created xsi:type="dcterms:W3CDTF">2021-06-10T07:21:00Z</dcterms:created>
  <dcterms:modified xsi:type="dcterms:W3CDTF">2021-06-10T07:21:00Z</dcterms:modified>
</cp:coreProperties>
</file>