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8E9" w:rsidP="63514737" w:rsidRDefault="00E04582" w14:paraId="21536AE8" w14:textId="77777777">
      <w:pPr>
        <w:pStyle w:val="Standard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Uchwała Rady Miejskiej Rogoźno</w:t>
      </w:r>
    </w:p>
    <w:p w:rsidR="00F248E9" w:rsidP="63514737" w:rsidRDefault="00E04582" w14:paraId="1838FD35" w14:textId="77777777">
      <w:pPr>
        <w:pStyle w:val="Standard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z dnia ………. 2020 r.</w:t>
      </w:r>
    </w:p>
    <w:p w:rsidR="00F248E9" w:rsidP="63514737" w:rsidRDefault="00F248E9" w14:paraId="5D569333" w14:textId="77777777">
      <w:pPr>
        <w:pStyle w:val="Standard"/>
        <w:jc w:val="center"/>
        <w:rPr>
          <w:rFonts w:ascii="Times New Roman" w:hAnsi="Times New Roman" w:eastAsia="Times New Roman" w:cs="Times New Roman"/>
        </w:rPr>
      </w:pPr>
    </w:p>
    <w:p w:rsidR="00F248E9" w:rsidP="63514737" w:rsidRDefault="00F248E9" w14:paraId="5D59E72A" w14:textId="77777777">
      <w:pPr>
        <w:pStyle w:val="Standard"/>
        <w:jc w:val="center"/>
        <w:rPr>
          <w:rFonts w:ascii="Times New Roman" w:hAnsi="Times New Roman" w:eastAsia="Times New Roman" w:cs="Times New Roman"/>
        </w:rPr>
      </w:pPr>
    </w:p>
    <w:p w:rsidR="00F248E9" w:rsidP="63514737" w:rsidRDefault="00E04582" w14:paraId="5D0615B7" w14:textId="77777777">
      <w:pPr>
        <w:pStyle w:val="Standard"/>
        <w:jc w:val="center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w sprawie wyznaczenia obszaru i granic aglomeracji Rogoźno</w:t>
      </w:r>
    </w:p>
    <w:p w:rsidR="00F248E9" w:rsidP="63514737" w:rsidRDefault="00F248E9" w14:paraId="4D7BF70E" w14:textId="77777777">
      <w:pPr>
        <w:pStyle w:val="Standard"/>
        <w:jc w:val="center"/>
        <w:rPr>
          <w:rFonts w:ascii="Times New Roman" w:hAnsi="Times New Roman" w:eastAsia="Times New Roman" w:cs="Times New Roman"/>
        </w:rPr>
      </w:pPr>
    </w:p>
    <w:p w:rsidR="00F248E9" w:rsidP="63514737" w:rsidRDefault="00F248E9" w14:paraId="27C1AB4E" w14:textId="77777777">
      <w:pPr>
        <w:pStyle w:val="Standard"/>
        <w:jc w:val="center"/>
        <w:rPr>
          <w:rFonts w:ascii="Times New Roman" w:hAnsi="Times New Roman" w:eastAsia="Times New Roman" w:cs="Times New Roman"/>
        </w:rPr>
      </w:pPr>
    </w:p>
    <w:p w:rsidR="00F248E9" w:rsidP="63514737" w:rsidRDefault="00E04582" w14:paraId="4BD5934C" w14:textId="46F9823D">
      <w:pPr>
        <w:pStyle w:val="Standard"/>
        <w:ind w:firstLine="708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Na podstawie art. 18 ust. 2 pkt. 15 ustawy z dnia 8 marca 1990 r. o samorządzie gminnym (</w:t>
      </w:r>
      <w:proofErr w:type="spellStart"/>
      <w:r w:rsidRPr="63514737" w:rsidR="00E04582">
        <w:rPr>
          <w:rFonts w:ascii="Times New Roman" w:hAnsi="Times New Roman" w:eastAsia="Times New Roman" w:cs="Times New Roman"/>
        </w:rPr>
        <w:t>t.j</w:t>
      </w:r>
      <w:proofErr w:type="spellEnd"/>
      <w:r w:rsidRPr="63514737" w:rsidR="00E04582">
        <w:rPr>
          <w:rFonts w:ascii="Times New Roman" w:hAnsi="Times New Roman" w:eastAsia="Times New Roman" w:cs="Times New Roman"/>
        </w:rPr>
        <w:t xml:space="preserve">. 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 xml:space="preserve">Dz. U. z 2020 r. poz. 713), art. 87 ust. 1 i 4, art. 92 ustawy z dnia 20 lipca 2017 r. Prawo 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>wodne (</w:t>
      </w:r>
      <w:proofErr w:type="spellStart"/>
      <w:r w:rsidRPr="63514737" w:rsidR="00E04582">
        <w:rPr>
          <w:rFonts w:ascii="Times New Roman" w:hAnsi="Times New Roman" w:eastAsia="Times New Roman" w:cs="Times New Roman"/>
        </w:rPr>
        <w:t>t.j</w:t>
      </w:r>
      <w:proofErr w:type="spellEnd"/>
      <w:r w:rsidRPr="63514737" w:rsidR="00E04582">
        <w:rPr>
          <w:rFonts w:ascii="Times New Roman" w:hAnsi="Times New Roman" w:eastAsia="Times New Roman" w:cs="Times New Roman"/>
        </w:rPr>
        <w:t xml:space="preserve">. Dz. U. z 2020 r. poz. 310 z </w:t>
      </w:r>
      <w:proofErr w:type="spellStart"/>
      <w:r w:rsidRPr="63514737" w:rsidR="00E04582">
        <w:rPr>
          <w:rFonts w:ascii="Times New Roman" w:hAnsi="Times New Roman" w:eastAsia="Times New Roman" w:cs="Times New Roman"/>
        </w:rPr>
        <w:t>późn</w:t>
      </w:r>
      <w:proofErr w:type="spellEnd"/>
      <w:r w:rsidRPr="63514737" w:rsidR="00E04582">
        <w:rPr>
          <w:rFonts w:ascii="Times New Roman" w:hAnsi="Times New Roman" w:eastAsia="Times New Roman" w:cs="Times New Roman"/>
        </w:rPr>
        <w:t>. zm.),</w:t>
      </w:r>
    </w:p>
    <w:p w:rsidR="00F248E9" w:rsidP="63514737" w:rsidRDefault="00E04582" w14:paraId="5B809AC8" w14:textId="77777777">
      <w:pPr>
        <w:pStyle w:val="Standard"/>
        <w:spacing w:before="24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Rada Miejska Rogoźno uchwala, co następuje:</w:t>
      </w:r>
    </w:p>
    <w:p w:rsidR="00F248E9" w:rsidP="63514737" w:rsidRDefault="00E04582" w14:paraId="6FBED221" w14:textId="77777777">
      <w:pPr>
        <w:pStyle w:val="Standard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§</w:t>
      </w: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 xml:space="preserve"> 1</w:t>
      </w:r>
    </w:p>
    <w:p w:rsidR="00F248E9" w:rsidP="63514737" w:rsidRDefault="00E04582" w14:paraId="1C1CD1D6" w14:textId="48068797">
      <w:pPr>
        <w:pStyle w:val="Akapitzlist"/>
        <w:numPr>
          <w:ilvl w:val="0"/>
          <w:numId w:val="14"/>
        </w:numPr>
        <w:spacing w:after="0" w:line="276" w:lineRule="auto"/>
        <w:ind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Wyznacza się aglomerację Rogoźno o równoważnej liczbie mieszkańców </w:t>
      </w: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12</w:t>
      </w:r>
      <w:r w:rsidRPr="63514737" w:rsidR="3C0E7712">
        <w:rPr>
          <w:rFonts w:ascii="Times New Roman" w:hAnsi="Times New Roman" w:eastAsia="Times New Roman" w:cs="Times New Roman"/>
          <w:b w:val="1"/>
          <w:bCs w:val="1"/>
        </w:rPr>
        <w:t>076</w:t>
      </w: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3514737" w:rsidR="00E04582">
        <w:rPr>
          <w:rFonts w:ascii="Times New Roman" w:hAnsi="Times New Roman" w:eastAsia="Times New Roman" w:cs="Times New Roman"/>
        </w:rPr>
        <w:t>z oczyszczalnią ścieków w miejscowości Rogoźno, obejmującą następujące miejscowości: Rogoźno, Cieśle, Garbatka, Ruda.</w:t>
      </w:r>
    </w:p>
    <w:p w:rsidR="00F248E9" w:rsidP="63514737" w:rsidRDefault="00E04582" w14:paraId="32731A44" w14:textId="7A92E111">
      <w:pPr>
        <w:pStyle w:val="Akapitzlist"/>
        <w:numPr>
          <w:ilvl w:val="0"/>
          <w:numId w:val="14"/>
        </w:numPr>
        <w:spacing w:after="0" w:line="276" w:lineRule="auto"/>
        <w:ind/>
        <w:jc w:val="both"/>
        <w:rPr/>
      </w:pPr>
      <w:r w:rsidRPr="63514737" w:rsidR="00E04582">
        <w:rPr>
          <w:rFonts w:ascii="Times New Roman" w:hAnsi="Times New Roman" w:eastAsia="Times New Roman" w:cs="Times New Roman"/>
        </w:rPr>
        <w:t>Opis aglomeracji stanowi załącznik nr 1 do niniejszej uchwały.</w:t>
      </w:r>
    </w:p>
    <w:p w:rsidR="00F248E9" w:rsidP="63514737" w:rsidRDefault="00E04582" w14:paraId="4F584EFC" w14:textId="4050840F">
      <w:pPr>
        <w:pStyle w:val="Akapitzlist"/>
        <w:numPr>
          <w:ilvl w:val="0"/>
          <w:numId w:val="14"/>
        </w:numPr>
        <w:spacing w:after="0" w:line="276" w:lineRule="auto"/>
        <w:ind/>
        <w:jc w:val="both"/>
        <w:rPr/>
      </w:pPr>
      <w:r w:rsidRPr="63514737" w:rsidR="00E04582">
        <w:rPr>
          <w:rFonts w:ascii="Times New Roman" w:hAnsi="Times New Roman" w:eastAsia="Times New Roman" w:cs="Times New Roman"/>
        </w:rPr>
        <w:t>Obszar i granice aglomeracji wyznaczono na mapie w skali 1:10000, stanowiącej załącznik nr 2 do niniejszej uchwały – część graficzna.</w:t>
      </w:r>
    </w:p>
    <w:p w:rsidR="00F248E9" w:rsidP="63514737" w:rsidRDefault="00F248E9" w14:paraId="09DAF08B" w14:textId="77777777">
      <w:pPr>
        <w:pStyle w:val="Standard"/>
        <w:jc w:val="both"/>
        <w:rPr>
          <w:rFonts w:ascii="Times New Roman" w:hAnsi="Times New Roman" w:eastAsia="Times New Roman" w:cs="Times New Roman"/>
        </w:rPr>
      </w:pPr>
    </w:p>
    <w:p w:rsidR="00F248E9" w:rsidP="63514737" w:rsidRDefault="00E04582" w14:paraId="2F4AB38D" w14:textId="77777777">
      <w:pPr>
        <w:pStyle w:val="Standard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§ 2</w:t>
      </w:r>
    </w:p>
    <w:p w:rsidR="00F248E9" w:rsidP="63514737" w:rsidRDefault="00E04582" w14:paraId="5FD704C2" w14:textId="4BF50CED">
      <w:pPr>
        <w:pStyle w:val="Standard"/>
        <w:ind w:firstLine="708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Wykonanie uchwały powierza się Burmistrzowi Rogoźna</w:t>
      </w:r>
      <w:r w:rsidRPr="63514737" w:rsidR="7DDF8AE8">
        <w:rPr>
          <w:rFonts w:ascii="Times New Roman" w:hAnsi="Times New Roman" w:eastAsia="Times New Roman" w:cs="Times New Roman"/>
        </w:rPr>
        <w:t>.</w:t>
      </w:r>
    </w:p>
    <w:p w:rsidR="00F248E9" w:rsidP="63514737" w:rsidRDefault="00F248E9" w14:paraId="56DE6CD4" w14:textId="77777777">
      <w:pPr>
        <w:pStyle w:val="Standard"/>
        <w:jc w:val="both"/>
        <w:rPr>
          <w:rFonts w:ascii="Times New Roman" w:hAnsi="Times New Roman" w:eastAsia="Times New Roman" w:cs="Times New Roman"/>
        </w:rPr>
      </w:pPr>
    </w:p>
    <w:p w:rsidR="00F248E9" w:rsidP="63514737" w:rsidRDefault="00E04582" w14:paraId="2E01DF80" w14:textId="77777777">
      <w:pPr>
        <w:pStyle w:val="Standard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§ 3</w:t>
      </w:r>
    </w:p>
    <w:p w:rsidR="00F248E9" w:rsidP="63514737" w:rsidRDefault="00E04582" w14:paraId="18E80D37" w14:textId="114123A4">
      <w:pPr>
        <w:pStyle w:val="Standard"/>
        <w:ind w:firstLine="708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Uchwała wchodzi w życie po upływie 14 dni od dnia ogłoszenia w Dzienniku Urzędowym 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>Województwa Wielkopolskiego</w:t>
      </w:r>
      <w:r w:rsidRPr="63514737">
        <w:rPr>
          <w:rStyle w:val="Odwoanieprzypisudolnego"/>
          <w:rFonts w:ascii="Times New Roman" w:hAnsi="Times New Roman" w:eastAsia="Times New Roman" w:cs="Times New Roman"/>
        </w:rPr>
        <w:footnoteReference w:id="1"/>
      </w:r>
      <w:r w:rsidRPr="63514737" w:rsidR="2EBCFE25">
        <w:rPr>
          <w:rFonts w:ascii="Times New Roman" w:hAnsi="Times New Roman" w:eastAsia="Times New Roman" w:cs="Times New Roman"/>
        </w:rPr>
        <w:t>.</w:t>
      </w:r>
    </w:p>
    <w:p w:rsidR="00F248E9" w:rsidP="63514737" w:rsidRDefault="00F248E9" w14:paraId="194FB70C" w14:textId="77777777">
      <w:pPr>
        <w:pStyle w:val="Standard"/>
        <w:jc w:val="both"/>
        <w:rPr>
          <w:rFonts w:ascii="Times New Roman" w:hAnsi="Times New Roman" w:eastAsia="Times New Roman" w:cs="Times New Roman"/>
        </w:rPr>
      </w:pPr>
    </w:p>
    <w:p w:rsidR="00F248E9" w:rsidP="63514737" w:rsidRDefault="00F248E9" w14:paraId="222E0673" w14:textId="77777777">
      <w:pPr>
        <w:pStyle w:val="Standard"/>
        <w:rPr>
          <w:rFonts w:ascii="Times New Roman" w:hAnsi="Times New Roman" w:eastAsia="Times New Roman" w:cs="Times New Roman"/>
          <w:b w:val="1"/>
          <w:bCs w:val="1"/>
        </w:rPr>
      </w:pPr>
    </w:p>
    <w:p w:rsidR="00F248E9" w:rsidP="63514737" w:rsidRDefault="00E04582" w14:paraId="5ABA415E" w14:textId="77777777">
      <w:pPr>
        <w:pStyle w:val="Standard"/>
        <w:pageBreakBefore/>
        <w:jc w:val="right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Załącznik nr 1 do Uchwały </w:t>
      </w:r>
    </w:p>
    <w:p w:rsidR="00F248E9" w:rsidP="63514737" w:rsidRDefault="00E04582" w14:paraId="366A99F3" w14:textId="77777777">
      <w:pPr>
        <w:pStyle w:val="Standard"/>
        <w:jc w:val="right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Rady Miejskiej Rogoźno</w:t>
      </w:r>
    </w:p>
    <w:p w:rsidR="00F248E9" w:rsidP="63514737" w:rsidRDefault="00E04582" w14:paraId="32A0E136" w14:textId="77777777">
      <w:pPr>
        <w:pStyle w:val="Standard"/>
        <w:jc w:val="right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z dnia ….  r.</w:t>
      </w:r>
    </w:p>
    <w:p w:rsidR="00F248E9" w:rsidP="63514737" w:rsidRDefault="00F248E9" w14:paraId="60EC979A" w14:textId="77777777">
      <w:pPr>
        <w:pStyle w:val="Standard"/>
        <w:rPr>
          <w:rFonts w:ascii="Times New Roman" w:hAnsi="Times New Roman" w:eastAsia="Times New Roman" w:cs="Times New Roman"/>
          <w:b w:val="1"/>
          <w:bCs w:val="1"/>
        </w:rPr>
      </w:pPr>
    </w:p>
    <w:p w:rsidR="00F248E9" w:rsidP="63514737" w:rsidRDefault="00E04582" w14:paraId="6F80D79E" w14:textId="77777777">
      <w:pPr>
        <w:pStyle w:val="Standard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Opis aglomeracji Rogoźno</w:t>
      </w:r>
    </w:p>
    <w:p w:rsidR="00F248E9" w:rsidP="63514737" w:rsidRDefault="00F248E9" w14:paraId="3CDCBF16" w14:textId="77777777">
      <w:pPr>
        <w:pStyle w:val="Standard"/>
        <w:rPr>
          <w:rFonts w:ascii="Times New Roman" w:hAnsi="Times New Roman" w:eastAsia="Times New Roman" w:cs="Times New Roman"/>
          <w:b w:val="1"/>
          <w:bCs w:val="1"/>
        </w:rPr>
      </w:pPr>
    </w:p>
    <w:p w:rsidR="00F248E9" w:rsidP="63514737" w:rsidRDefault="00E04582" w14:paraId="7B9B7E0A" w14:textId="77777777">
      <w:pPr>
        <w:pStyle w:val="Standard"/>
        <w:pageBreakBefore/>
        <w:jc w:val="right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Załącznik nr 2 do Uchwały</w:t>
      </w:r>
    </w:p>
    <w:p w:rsidR="00F248E9" w:rsidP="63514737" w:rsidRDefault="00E04582" w14:paraId="173F37AD" w14:textId="77777777">
      <w:pPr>
        <w:pStyle w:val="Standard"/>
        <w:jc w:val="right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Rady Miejskiej Rogoźno</w:t>
      </w:r>
    </w:p>
    <w:p w:rsidR="00F248E9" w:rsidP="63514737" w:rsidRDefault="00E04582" w14:paraId="6F47AD01" w14:textId="77777777">
      <w:pPr>
        <w:pStyle w:val="Standard"/>
        <w:jc w:val="right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z dnia ….  r.</w:t>
      </w:r>
    </w:p>
    <w:p w:rsidR="00F248E9" w:rsidP="63514737" w:rsidRDefault="00E04582" w14:paraId="2BC4F24E" w14:textId="77777777">
      <w:pPr>
        <w:pStyle w:val="Nagwek1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Obszar i granice aglomeracji Rogoźno</w:t>
      </w:r>
    </w:p>
    <w:p w:rsidR="00F248E9" w:rsidP="63514737" w:rsidRDefault="00F248E9" w14:paraId="3D906663" w14:textId="77777777">
      <w:pPr>
        <w:pStyle w:val="Standard"/>
        <w:rPr>
          <w:rFonts w:ascii="Times New Roman" w:hAnsi="Times New Roman" w:eastAsia="Times New Roman" w:cs="Times New Roman"/>
          <w:b w:val="1"/>
          <w:bCs w:val="1"/>
        </w:rPr>
      </w:pPr>
    </w:p>
    <w:p w:rsidR="00F248E9" w:rsidP="63514737" w:rsidRDefault="00E04582" w14:paraId="67B4CBD0" w14:textId="77777777">
      <w:pPr>
        <w:pStyle w:val="Standard"/>
        <w:pageBreakBefore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Uzasadnienie</w:t>
      </w:r>
    </w:p>
    <w:p w:rsidR="00F248E9" w:rsidP="63514737" w:rsidRDefault="00E04582" w14:paraId="1DFBE154" w14:textId="77777777">
      <w:pPr>
        <w:pStyle w:val="Standard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do uchwały Nr ……… Rady Miejskiej Rogoźno</w:t>
      </w:r>
    </w:p>
    <w:p w:rsidR="00F248E9" w:rsidP="63514737" w:rsidRDefault="00E04582" w14:paraId="6300032B" w14:textId="77777777">
      <w:pPr>
        <w:pStyle w:val="Standard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 xml:space="preserve">z dnia … </w:t>
      </w:r>
      <w:proofErr w:type="gramStart"/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2020  roku</w:t>
      </w:r>
      <w:proofErr w:type="gramEnd"/>
    </w:p>
    <w:p w:rsidR="00F248E9" w:rsidP="63514737" w:rsidRDefault="00F248E9" w14:paraId="1286768B" w14:textId="77777777">
      <w:pPr>
        <w:pStyle w:val="Standard"/>
        <w:jc w:val="both"/>
        <w:rPr>
          <w:rFonts w:ascii="Times New Roman" w:hAnsi="Times New Roman" w:eastAsia="Times New Roman" w:cs="Times New Roman"/>
        </w:rPr>
      </w:pPr>
    </w:p>
    <w:p w:rsidR="00F248E9" w:rsidP="63514737" w:rsidRDefault="00E04582" w14:paraId="4B7E77E1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Aglomerację Rogoźno tworzą 4 miejscowości: Rogoźno, Cieśle, Garbatka, Ruda, z których każda posiada system kanalizacyjny odprowadzający ścieki do oczyszczalni ścieków znajdującej się w miejscowości Rogoźno</w:t>
      </w:r>
    </w:p>
    <w:p w:rsidR="00F248E9" w:rsidP="63514737" w:rsidRDefault="00E04582" w14:paraId="4DC9D438" w14:textId="540BB36E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W nadchodzących latach </w:t>
      </w:r>
      <w:r w:rsidRPr="63514737" w:rsidR="0096079B">
        <w:rPr>
          <w:rFonts w:ascii="Times New Roman" w:hAnsi="Times New Roman" w:eastAsia="Times New Roman" w:cs="Times New Roman"/>
        </w:rPr>
        <w:t>dopuszcza się możliwość</w:t>
      </w:r>
      <w:r w:rsidRPr="63514737" w:rsidR="00E04582">
        <w:rPr>
          <w:rFonts w:ascii="Times New Roman" w:hAnsi="Times New Roman" w:eastAsia="Times New Roman" w:cs="Times New Roman"/>
        </w:rPr>
        <w:t xml:space="preserve"> rozbudowy istniejącej sieci kanalizacyjnej na terenie aglomeracji, natomiast przewiduje się podłączenie do istniejącej sieci kanalizacyjnej mieszkańców, którzy mają techniczną możliwość korzystania z kanalizacji.</w:t>
      </w:r>
    </w:p>
    <w:p w:rsidR="00F248E9" w:rsidP="63514737" w:rsidRDefault="00E04582" w14:paraId="52DF4E3F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Obecnie na terenie aglomeracji długość istniejącej grawitacyjnej sieci kanalizacji sanitarnej wynosi 24 km, natomiast długość kanalizacji tłocznej to 39,7 km.</w:t>
      </w:r>
    </w:p>
    <w:p w:rsidR="00F248E9" w:rsidP="63514737" w:rsidRDefault="00E04582" w14:paraId="5BC9A1EC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Do istniejącej sieci kanalizacyjnej trafiają ścieki przemysłowe odpowiadające ładunkowi 542 RLM. </w:t>
      </w:r>
      <w:r w:rsidRPr="63514737" w:rsidR="00E04582">
        <w:rPr>
          <w:rFonts w:ascii="Times New Roman" w:hAnsi="Times New Roman" w:eastAsia="Times New Roman" w:cs="Times New Roman"/>
        </w:rPr>
        <w:t xml:space="preserve">Planowane jest również podłączenie nowego zakładu przemysłowego do istniejącej sieci kanalizacji, odpowiadające </w:t>
      </w:r>
      <w:r w:rsidRPr="63514737" w:rsidR="00E04582">
        <w:rPr>
          <w:rFonts w:ascii="Times New Roman" w:hAnsi="Times New Roman" w:eastAsia="Times New Roman" w:cs="Times New Roman"/>
        </w:rPr>
        <w:t>ładunkowi 70 RLM.</w:t>
      </w:r>
    </w:p>
    <w:p w:rsidR="00F248E9" w:rsidP="63514737" w:rsidRDefault="00E04582" w14:paraId="6155CF2C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Na terenie aglomeracji zlokalizowane są 323 zarejestrowane miejsca noclegowe (osoby czasowo przebywające na terenie aglomeracji).</w:t>
      </w:r>
    </w:p>
    <w:p w:rsidR="00F248E9" w:rsidP="63514737" w:rsidRDefault="00E04582" w14:paraId="33F9AF2A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Ścieki z aglomeracji po oczyszczeniu w oczyszczalni ścieków, będą trafiały do rzeki Wełny w km 31+324, będąca bezpośrednim dopływem rzeki Warta, zlokalizowanej w zlewni Odry.</w:t>
      </w:r>
      <w:r w:rsidRPr="63514737" w:rsidR="00E04582">
        <w:rPr>
          <w:rFonts w:ascii="Times New Roman" w:hAnsi="Times New Roman" w:eastAsia="Times New Roman" w:cs="Times New Roman"/>
          <w:color w:val="FF0000"/>
        </w:rPr>
        <w:t xml:space="preserve"> </w:t>
      </w:r>
      <w:r w:rsidRPr="63514737" w:rsidR="00E04582">
        <w:rPr>
          <w:rFonts w:ascii="Times New Roman" w:hAnsi="Times New Roman" w:eastAsia="Times New Roman" w:cs="Times New Roman"/>
        </w:rPr>
        <w:t>Współrzędne geograficzne punktu zrzutu ścieków: 16,9853 E 52,7581 N.</w:t>
      </w:r>
    </w:p>
    <w:p w:rsidR="00F248E9" w:rsidP="63514737" w:rsidRDefault="00E04582" w14:paraId="0CC1B27B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Przepustowość maksymalna istniejącej oczyszczalni ścieków wynosi 3000 m</w:t>
      </w:r>
      <w:r w:rsidRPr="63514737" w:rsidR="00E04582">
        <w:rPr>
          <w:rFonts w:ascii="Times New Roman" w:hAnsi="Times New Roman" w:eastAsia="Times New Roman" w:cs="Times New Roman"/>
          <w:vertAlign w:val="superscript"/>
        </w:rPr>
        <w:t>3</w:t>
      </w:r>
      <w:r w:rsidRPr="63514737" w:rsidR="00E04582">
        <w:rPr>
          <w:rFonts w:ascii="Times New Roman" w:hAnsi="Times New Roman" w:eastAsia="Times New Roman" w:cs="Times New Roman"/>
        </w:rPr>
        <w:t>/d. Przewidywane średnie obciążenie oczyszczalni, z terenu aglomeracji wyniesie: 1500 m</w:t>
      </w:r>
      <w:r w:rsidRPr="63514737" w:rsidR="00E04582">
        <w:rPr>
          <w:rFonts w:ascii="Times New Roman" w:hAnsi="Times New Roman" w:eastAsia="Times New Roman" w:cs="Times New Roman"/>
          <w:vertAlign w:val="superscript"/>
        </w:rPr>
        <w:t>3</w:t>
      </w:r>
      <w:r w:rsidRPr="63514737" w:rsidR="00E04582">
        <w:rPr>
          <w:rFonts w:ascii="Times New Roman" w:hAnsi="Times New Roman" w:eastAsia="Times New Roman" w:cs="Times New Roman"/>
        </w:rPr>
        <w:t>/d.</w:t>
      </w:r>
    </w:p>
    <w:p w:rsidR="00F248E9" w:rsidP="63514737" w:rsidRDefault="00E04582" w14:paraId="7DE8D273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Średnie roczne stężenia zanieczyszczeń w ściekach dopływających do oczyszczalni kształtują się następująco:</w:t>
      </w:r>
    </w:p>
    <w:p w:rsidR="00F248E9" w:rsidP="63514737" w:rsidRDefault="00E04582" w14:paraId="67DE87B3" w14:textId="77777777">
      <w:pPr>
        <w:pStyle w:val="Standard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BZT</w:t>
      </w:r>
      <w:proofErr w:type="gramStart"/>
      <w:r w:rsidRPr="63514737" w:rsidR="00E04582">
        <w:rPr>
          <w:rFonts w:ascii="Times New Roman" w:hAnsi="Times New Roman" w:eastAsia="Times New Roman" w:cs="Times New Roman"/>
          <w:vertAlign w:val="subscript"/>
        </w:rPr>
        <w:t xml:space="preserve">5  </w:t>
      </w:r>
      <w:r w:rsidRPr="63514737" w:rsidR="00E04582">
        <w:rPr>
          <w:rFonts w:ascii="Times New Roman" w:hAnsi="Times New Roman" w:eastAsia="Times New Roman" w:cs="Times New Roman"/>
        </w:rPr>
        <w:t>-</w:t>
      </w:r>
      <w:proofErr w:type="gramEnd"/>
      <w:r w:rsidRPr="63514737" w:rsidR="00E04582">
        <w:rPr>
          <w:rFonts w:ascii="Times New Roman" w:hAnsi="Times New Roman" w:eastAsia="Times New Roman" w:cs="Times New Roman"/>
        </w:rPr>
        <w:t xml:space="preserve"> 575,8</w:t>
      </w: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3514737" w:rsidR="00E04582">
        <w:rPr>
          <w:rFonts w:ascii="Times New Roman" w:hAnsi="Times New Roman" w:eastAsia="Times New Roman" w:cs="Times New Roman"/>
        </w:rPr>
        <w:t>[mgO</w:t>
      </w:r>
      <w:r w:rsidRPr="63514737" w:rsidR="00E04582">
        <w:rPr>
          <w:rFonts w:ascii="Times New Roman" w:hAnsi="Times New Roman" w:eastAsia="Times New Roman" w:cs="Times New Roman"/>
          <w:vertAlign w:val="subscript"/>
        </w:rPr>
        <w:t>2</w:t>
      </w:r>
      <w:r w:rsidRPr="63514737" w:rsidR="00E04582">
        <w:rPr>
          <w:rFonts w:ascii="Times New Roman" w:hAnsi="Times New Roman" w:eastAsia="Times New Roman" w:cs="Times New Roman"/>
        </w:rPr>
        <w:t>/l]</w:t>
      </w:r>
    </w:p>
    <w:p w:rsidR="00F248E9" w:rsidP="63514737" w:rsidRDefault="00E04582" w14:paraId="5F08DD07" w14:textId="77777777">
      <w:pPr>
        <w:pStyle w:val="Standard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 w:eastAsia="Times New Roman" w:cs="Times New Roman"/>
        </w:rPr>
      </w:pPr>
      <w:proofErr w:type="spellStart"/>
      <w:r w:rsidRPr="63514737" w:rsidR="00E04582">
        <w:rPr>
          <w:rFonts w:ascii="Times New Roman" w:hAnsi="Times New Roman" w:eastAsia="Times New Roman" w:cs="Times New Roman"/>
          <w:lang w:val="de-DE"/>
        </w:rPr>
        <w:t>ChZT</w:t>
      </w:r>
      <w:r w:rsidRPr="63514737" w:rsidR="00E04582">
        <w:rPr>
          <w:rFonts w:ascii="Times New Roman" w:hAnsi="Times New Roman" w:eastAsia="Times New Roman" w:cs="Times New Roman"/>
          <w:vertAlign w:val="subscript"/>
          <w:lang w:val="de-DE"/>
        </w:rPr>
        <w:t>Cr</w:t>
      </w:r>
      <w:proofErr w:type="spellEnd"/>
      <w:r w:rsidRPr="63514737" w:rsidR="00E04582">
        <w:rPr>
          <w:rFonts w:ascii="Times New Roman" w:hAnsi="Times New Roman" w:eastAsia="Times New Roman" w:cs="Times New Roman"/>
          <w:vertAlign w:val="subscript"/>
          <w:lang w:val="de-DE"/>
        </w:rPr>
        <w:t xml:space="preserve"> </w:t>
      </w: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 xml:space="preserve">– </w:t>
      </w:r>
      <w:r w:rsidRPr="63514737" w:rsidR="00E04582">
        <w:rPr>
          <w:rFonts w:ascii="Times New Roman" w:hAnsi="Times New Roman" w:eastAsia="Times New Roman" w:cs="Times New Roman"/>
        </w:rPr>
        <w:t>1594,8</w:t>
      </w: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3514737" w:rsidR="00E04582">
        <w:rPr>
          <w:rFonts w:ascii="Times New Roman" w:hAnsi="Times New Roman" w:eastAsia="Times New Roman" w:cs="Times New Roman"/>
          <w:lang w:val="de-DE"/>
        </w:rPr>
        <w:t>[mgO</w:t>
      </w:r>
      <w:r w:rsidRPr="63514737" w:rsidR="00E04582">
        <w:rPr>
          <w:rFonts w:ascii="Times New Roman" w:hAnsi="Times New Roman" w:eastAsia="Times New Roman" w:cs="Times New Roman"/>
          <w:vertAlign w:val="subscript"/>
          <w:lang w:val="de-DE"/>
        </w:rPr>
        <w:t>2</w:t>
      </w:r>
      <w:r w:rsidRPr="63514737" w:rsidR="00E04582">
        <w:rPr>
          <w:rFonts w:ascii="Times New Roman" w:hAnsi="Times New Roman" w:eastAsia="Times New Roman" w:cs="Times New Roman"/>
          <w:lang w:val="de-DE"/>
        </w:rPr>
        <w:t>/l]</w:t>
      </w:r>
    </w:p>
    <w:p w:rsidR="00F248E9" w:rsidP="63514737" w:rsidRDefault="00E04582" w14:paraId="7214512C" w14:textId="77777777">
      <w:pPr>
        <w:pStyle w:val="Standard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Zawiesina ogólna – </w:t>
      </w:r>
      <w:r w:rsidRPr="63514737" w:rsidR="00E04582">
        <w:rPr>
          <w:rFonts w:ascii="Times New Roman" w:hAnsi="Times New Roman" w:eastAsia="Times New Roman" w:cs="Times New Roman"/>
        </w:rPr>
        <w:t>510,7</w:t>
      </w: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3514737" w:rsidR="00E04582">
        <w:rPr>
          <w:rFonts w:ascii="Times New Roman" w:hAnsi="Times New Roman" w:eastAsia="Times New Roman" w:cs="Times New Roman"/>
        </w:rPr>
        <w:t>[mg/l]</w:t>
      </w:r>
    </w:p>
    <w:p w:rsidR="12441DAA" w:rsidP="63514737" w:rsidRDefault="12441DAA" w14:paraId="2974F582" w14:textId="1B04AC62">
      <w:pPr>
        <w:pStyle w:val="Standard"/>
        <w:numPr>
          <w:ilvl w:val="0"/>
          <w:numId w:val="15"/>
        </w:numPr>
        <w:shd w:val="clear" w:color="auto" w:fill="FFFFFF" w:themeFill="background1"/>
        <w:jc w:val="both"/>
        <w:rPr/>
      </w:pPr>
      <w:r w:rsidRPr="63514737" w:rsidR="12441DAA">
        <w:rPr>
          <w:rFonts w:ascii="Times New Roman" w:hAnsi="Times New Roman" w:eastAsia="Times New Roman" w:cs="Times New Roman"/>
        </w:rPr>
        <w:t>Azot ogólny - 145,1 [mgN/l]</w:t>
      </w:r>
    </w:p>
    <w:p w:rsidR="12441DAA" w:rsidP="63514737" w:rsidRDefault="12441DAA" w14:paraId="5DBF01D4" w14:textId="4CB7B6E1">
      <w:pPr>
        <w:pStyle w:val="Standard"/>
        <w:numPr>
          <w:ilvl w:val="0"/>
          <w:numId w:val="15"/>
        </w:numPr>
        <w:shd w:val="clear" w:color="auto" w:fill="FFFFFF" w:themeFill="background1"/>
        <w:jc w:val="both"/>
        <w:rPr/>
      </w:pPr>
      <w:r w:rsidRPr="63514737" w:rsidR="12441DAA">
        <w:rPr>
          <w:rFonts w:ascii="Times New Roman" w:hAnsi="Times New Roman" w:eastAsia="Times New Roman" w:cs="Times New Roman"/>
        </w:rPr>
        <w:t>Fosfor ogólny - 20,8 [mgP/l</w:t>
      </w:r>
    </w:p>
    <w:p w:rsidR="00F248E9" w:rsidP="63514737" w:rsidRDefault="00E04582" w14:paraId="107AF9F3" w14:textId="5D50FEBC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63514737" w:rsidR="00E04582">
        <w:rPr>
          <w:rFonts w:ascii="Times New Roman" w:hAnsi="Times New Roman" w:eastAsia="Times New Roman" w:cs="Times New Roman"/>
        </w:rPr>
        <w:t>Liczba mieszkańców korzystających z istniejącej sieci kanalizacyjnej wynosi 1</w:t>
      </w:r>
      <w:r w:rsidRPr="63514737" w:rsidR="664EC982">
        <w:rPr>
          <w:rFonts w:ascii="Times New Roman" w:hAnsi="Times New Roman" w:eastAsia="Times New Roman" w:cs="Times New Roman"/>
        </w:rPr>
        <w:t>0784</w:t>
      </w:r>
      <w:r w:rsidRPr="63514737" w:rsidR="00E04582">
        <w:rPr>
          <w:rFonts w:ascii="Times New Roman" w:hAnsi="Times New Roman" w:eastAsia="Times New Roman" w:cs="Times New Roman"/>
        </w:rPr>
        <w:t xml:space="preserve">, liczba osób czasowo przebywających korzystających z sieci kanalizacyjnej wynosi 323, mających możliwość techniczną do podłączenia do istniejącej sieci kanalizacyjnej wynosi 156. Równoważna Liczba Mieszkańców wynikająca z dobowego ładunku ścieków istniejących oraz planowanych </w:t>
      </w:r>
      <w:r w:rsidRPr="63514737" w:rsidR="00E04582">
        <w:rPr>
          <w:rFonts w:ascii="Times New Roman" w:hAnsi="Times New Roman" w:eastAsia="Times New Roman" w:cs="Times New Roman"/>
        </w:rPr>
        <w:t>wyniesie 612.</w:t>
      </w:r>
      <w:r w:rsidRPr="63514737" w:rsidR="00E04582">
        <w:rPr>
          <w:rFonts w:ascii="Times New Roman" w:hAnsi="Times New Roman" w:eastAsia="Times New Roman" w:cs="Times New Roman"/>
        </w:rPr>
        <w:t xml:space="preserve"> Na terenie aglomeracji zlokalizowane są 32 przydomowe oczyszczalnie ścieków oraz 11 zbiorników bezodpływowych, skąd ścieki wozami asenizacyjnymi trafiają na oczyszczalnię. Planowana łączna Równoważna Liczba Mieszkańców w aglomeracji wyniesie </w:t>
      </w: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>12</w:t>
      </w:r>
      <w:r w:rsidRPr="63514737" w:rsidR="12303835">
        <w:rPr>
          <w:rFonts w:ascii="Times New Roman" w:hAnsi="Times New Roman" w:eastAsia="Times New Roman" w:cs="Times New Roman"/>
          <w:b w:val="1"/>
          <w:bCs w:val="1"/>
        </w:rPr>
        <w:t>076</w:t>
      </w:r>
      <w:r w:rsidRPr="63514737" w:rsidR="00E04582">
        <w:rPr>
          <w:rFonts w:ascii="Times New Roman" w:hAnsi="Times New Roman" w:eastAsia="Times New Roman" w:cs="Times New Roman"/>
          <w:b w:val="1"/>
          <w:bCs w:val="1"/>
        </w:rPr>
        <w:t xml:space="preserve"> RLM.</w:t>
      </w:r>
    </w:p>
    <w:p w:rsidR="00F248E9" w:rsidP="63514737" w:rsidRDefault="00E04582" w14:paraId="58D3A795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Podstawę wyznaczenia obszaru i granic aglomeracji Rogoźno stanowiły </w:t>
      </w:r>
      <w:r w:rsidRPr="63514737" w:rsidR="00E04582">
        <w:rPr>
          <w:rFonts w:ascii="Times New Roman" w:hAnsi="Times New Roman" w:eastAsia="Times New Roman" w:cs="Times New Roman"/>
        </w:rPr>
        <w:t xml:space="preserve">miejscowe plany zagospodarowania przestrzennego, studium uwarunkowań kierunków zagospodarowania </w:t>
      </w:r>
    </w:p>
    <w:p w:rsidR="00F248E9" w:rsidP="63514737" w:rsidRDefault="00E04582" w14:paraId="4AD0E3D5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Na terenie aglomeracji ujęcia wody zlokalizowane są w miejscowości: </w:t>
      </w:r>
    </w:p>
    <w:p w:rsidR="00F248E9" w:rsidP="63514737" w:rsidRDefault="00E04582" w14:paraId="4AC14103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1. Rogoźno: </w:t>
      </w:r>
    </w:p>
    <w:p w:rsidR="00F248E9" w:rsidP="63514737" w:rsidRDefault="00E04582" w14:paraId="72E7F9BC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-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 xml:space="preserve">Studnia nr 1 (zastępcza) zlokalizowana na działce o nr </w:t>
      </w:r>
      <w:proofErr w:type="spellStart"/>
      <w:r w:rsidRPr="63514737" w:rsidR="00E04582">
        <w:rPr>
          <w:rFonts w:ascii="Times New Roman" w:hAnsi="Times New Roman" w:eastAsia="Times New Roman" w:cs="Times New Roman"/>
        </w:rPr>
        <w:t>ewid</w:t>
      </w:r>
      <w:proofErr w:type="spellEnd"/>
      <w:r w:rsidRPr="63514737" w:rsidR="00E04582">
        <w:rPr>
          <w:rFonts w:ascii="Times New Roman" w:hAnsi="Times New Roman" w:eastAsia="Times New Roman" w:cs="Times New Roman"/>
        </w:rPr>
        <w:t xml:space="preserve"> 111/5, </w:t>
      </w:r>
    </w:p>
    <w:p w:rsidR="00F248E9" w:rsidP="63514737" w:rsidRDefault="00E04582" w14:paraId="4864A5D8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-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 xml:space="preserve">Studnia nr 2 zlokalizowana na działce o nr </w:t>
      </w:r>
      <w:proofErr w:type="spellStart"/>
      <w:r w:rsidRPr="63514737" w:rsidR="00E04582">
        <w:rPr>
          <w:rFonts w:ascii="Times New Roman" w:hAnsi="Times New Roman" w:eastAsia="Times New Roman" w:cs="Times New Roman"/>
        </w:rPr>
        <w:t>ewid</w:t>
      </w:r>
      <w:proofErr w:type="spellEnd"/>
      <w:r w:rsidRPr="63514737" w:rsidR="00E04582">
        <w:rPr>
          <w:rFonts w:ascii="Times New Roman" w:hAnsi="Times New Roman" w:eastAsia="Times New Roman" w:cs="Times New Roman"/>
        </w:rPr>
        <w:t xml:space="preserve"> 107/7</w:t>
      </w:r>
    </w:p>
    <w:p w:rsidR="00F248E9" w:rsidP="63514737" w:rsidRDefault="00E04582" w14:paraId="583B35BF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-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 xml:space="preserve">Studnia nr 2a zlokalizowana na działce o nr </w:t>
      </w:r>
      <w:proofErr w:type="spellStart"/>
      <w:r w:rsidRPr="63514737" w:rsidR="00E04582">
        <w:rPr>
          <w:rFonts w:ascii="Times New Roman" w:hAnsi="Times New Roman" w:eastAsia="Times New Roman" w:cs="Times New Roman"/>
        </w:rPr>
        <w:t>ewid</w:t>
      </w:r>
      <w:proofErr w:type="spellEnd"/>
      <w:r w:rsidRPr="63514737" w:rsidR="00E04582">
        <w:rPr>
          <w:rFonts w:ascii="Times New Roman" w:hAnsi="Times New Roman" w:eastAsia="Times New Roman" w:cs="Times New Roman"/>
        </w:rPr>
        <w:t xml:space="preserve"> 109/5</w:t>
      </w:r>
    </w:p>
    <w:p w:rsidR="00F248E9" w:rsidP="63514737" w:rsidRDefault="00E04582" w14:paraId="7289B7E6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-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>Studnia nr I zlokalizowana na działce o nr ewid.107/11</w:t>
      </w:r>
    </w:p>
    <w:p w:rsidR="00F248E9" w:rsidP="63514737" w:rsidRDefault="00E04582" w14:paraId="2860F8C1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-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 xml:space="preserve">Studnia nr II zlokalizowana na działce o nr </w:t>
      </w:r>
      <w:proofErr w:type="spellStart"/>
      <w:r w:rsidRPr="63514737" w:rsidR="00E04582">
        <w:rPr>
          <w:rFonts w:ascii="Times New Roman" w:hAnsi="Times New Roman" w:eastAsia="Times New Roman" w:cs="Times New Roman"/>
        </w:rPr>
        <w:t>ewid</w:t>
      </w:r>
      <w:proofErr w:type="spellEnd"/>
      <w:r w:rsidRPr="63514737" w:rsidR="00E04582">
        <w:rPr>
          <w:rFonts w:ascii="Times New Roman" w:hAnsi="Times New Roman" w:eastAsia="Times New Roman" w:cs="Times New Roman"/>
        </w:rPr>
        <w:t>. 141</w:t>
      </w:r>
    </w:p>
    <w:p w:rsidR="00F248E9" w:rsidP="63514737" w:rsidRDefault="00E04582" w14:paraId="2B33C3E1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-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 xml:space="preserve">Studnia nr III zlokalizowana na działce o nr </w:t>
      </w:r>
      <w:proofErr w:type="spellStart"/>
      <w:r w:rsidRPr="63514737" w:rsidR="00E04582">
        <w:rPr>
          <w:rFonts w:ascii="Times New Roman" w:hAnsi="Times New Roman" w:eastAsia="Times New Roman" w:cs="Times New Roman"/>
        </w:rPr>
        <w:t>ewid</w:t>
      </w:r>
      <w:proofErr w:type="spellEnd"/>
      <w:r w:rsidRPr="63514737" w:rsidR="00E04582">
        <w:rPr>
          <w:rFonts w:ascii="Times New Roman" w:hAnsi="Times New Roman" w:eastAsia="Times New Roman" w:cs="Times New Roman"/>
        </w:rPr>
        <w:t xml:space="preserve"> 141 </w:t>
      </w:r>
    </w:p>
    <w:p w:rsidR="00F248E9" w:rsidP="63514737" w:rsidRDefault="00E04582" w14:paraId="7BEE5851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Wielkość poboru wody:</w:t>
      </w:r>
    </w:p>
    <w:p w:rsidR="00F248E9" w:rsidP="63514737" w:rsidRDefault="00E04582" w14:paraId="01BF0381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-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>Q max h = 361,0 m3/h</w:t>
      </w:r>
    </w:p>
    <w:p w:rsidR="00F248E9" w:rsidP="63514737" w:rsidRDefault="00E04582" w14:paraId="17F62AE1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-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 xml:space="preserve">Q </w:t>
      </w:r>
      <w:proofErr w:type="spellStart"/>
      <w:r w:rsidRPr="63514737" w:rsidR="00E04582">
        <w:rPr>
          <w:rFonts w:ascii="Times New Roman" w:hAnsi="Times New Roman" w:eastAsia="Times New Roman" w:cs="Times New Roman"/>
        </w:rPr>
        <w:t>śr.d</w:t>
      </w:r>
      <w:proofErr w:type="spellEnd"/>
      <w:r w:rsidRPr="63514737" w:rsidR="00E04582">
        <w:rPr>
          <w:rFonts w:ascii="Times New Roman" w:hAnsi="Times New Roman" w:eastAsia="Times New Roman" w:cs="Times New Roman"/>
        </w:rPr>
        <w:t xml:space="preserve"> = 2167,0 m3/d</w:t>
      </w:r>
    </w:p>
    <w:p w:rsidR="00F248E9" w:rsidP="63514737" w:rsidRDefault="00E04582" w14:paraId="59D7CA5D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-</w:t>
      </w:r>
      <w:r>
        <w:tab/>
      </w:r>
      <w:r w:rsidRPr="63514737" w:rsidR="00E04582">
        <w:rPr>
          <w:rFonts w:ascii="Times New Roman" w:hAnsi="Times New Roman" w:eastAsia="Times New Roman" w:cs="Times New Roman"/>
        </w:rPr>
        <w:t>Q max roczne = 1022000,0 m3/r</w:t>
      </w:r>
    </w:p>
    <w:p w:rsidR="00F248E9" w:rsidP="63514737" w:rsidRDefault="00E04582" w14:paraId="467B2D59" w14:textId="77777777">
      <w:pPr>
        <w:pStyle w:val="Standard"/>
        <w:shd w:val="clear" w:color="auto" w:fill="FFFFFF" w:themeFill="background1"/>
        <w:ind w:left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Pozwolenie wodnoprawne: OS.IV.6341.39.2012 z dnia 25.01.2013 r. wydane przez Starostę Obornickiego, ważne do 31.01.2023 r.</w:t>
      </w:r>
    </w:p>
    <w:p w:rsidR="00F248E9" w:rsidP="63514737" w:rsidRDefault="00E04582" w14:paraId="7E8787D2" w14:textId="77777777">
      <w:pPr>
        <w:pStyle w:val="Standard"/>
        <w:shd w:val="clear" w:color="auto" w:fill="FFFFFF" w:themeFill="background1"/>
        <w:ind w:left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Ujęcie wody posiada ustanowioną strefę ochrony bezpośredniej na działkach, na których się znajduje w ramach istniejącego ogrodzenia. </w:t>
      </w:r>
    </w:p>
    <w:p w:rsidR="00F248E9" w:rsidP="63514737" w:rsidRDefault="00E04582" w14:paraId="307270FC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Na obszarze aglomeracji nie został dotąd ustanowiony żaden obszar ochronny zbiorników wód śródlądowych.</w:t>
      </w:r>
    </w:p>
    <w:p w:rsidR="00F248E9" w:rsidP="63514737" w:rsidRDefault="00E04582" w14:paraId="31654A64" w14:textId="1AA15E51">
      <w:pPr>
        <w:pStyle w:val="Standard"/>
        <w:shd w:val="clear" w:color="auto" w:fill="FFFFFF" w:themeFill="background1"/>
        <w:spacing w:after="240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 xml:space="preserve">Na terenie aglomeracji Rogoźno zlokalizowane są następujące </w:t>
      </w:r>
      <w:r w:rsidRPr="63514737" w:rsidR="00E04582">
        <w:rPr>
          <w:rFonts w:ascii="Times New Roman" w:hAnsi="Times New Roman" w:eastAsia="Times New Roman" w:cs="Times New Roman"/>
        </w:rPr>
        <w:t>formy ochrony przyrody, w rozumieniu ustawy z dnia 16 kwietnia 2004 r. o ochronie przyrody (tj. Dz. U. z 2018 r. poz. 1614)</w:t>
      </w:r>
      <w:r w:rsidRPr="63514737" w:rsidR="00E04582">
        <w:rPr>
          <w:rFonts w:ascii="Times New Roman" w:hAnsi="Times New Roman" w:eastAsia="Times New Roman" w:cs="Times New Roman"/>
        </w:rPr>
        <w:t>:</w:t>
      </w:r>
    </w:p>
    <w:p w:rsidR="00565C96" w:rsidP="63514737" w:rsidRDefault="00565C96" w14:paraId="520BE4D4" w14:textId="77777777">
      <w:pPr>
        <w:widowControl/>
        <w:numPr>
          <w:ilvl w:val="0"/>
          <w:numId w:val="16"/>
        </w:numPr>
        <w:suppressAutoHyphens w:val="0"/>
        <w:autoSpaceDN/>
        <w:spacing w:after="200"/>
        <w:jc w:val="both"/>
        <w:textAlignment w:val="auto"/>
        <w:rPr>
          <w:rFonts w:ascii="Times New Roman" w:hAnsi="Times New Roman" w:eastAsia="Times New Roman" w:cs="Times New Roman"/>
        </w:rPr>
      </w:pPr>
      <w:bookmarkStart w:name="_Hlk58846436" w:id="0"/>
      <w:r w:rsidRPr="63514737" w:rsidR="00565C96">
        <w:rPr>
          <w:rFonts w:ascii="Times New Roman" w:hAnsi="Times New Roman" w:eastAsia="Times New Roman" w:cs="Times New Roman"/>
        </w:rPr>
        <w:t xml:space="preserve">Obszary Chronionego Krajobrazu: Dolina Wełny i Rynna Gołaniecko-Wągrowiecka - </w:t>
      </w:r>
      <w:r w:rsidRPr="63514737" w:rsidR="00565C96">
        <w:rPr>
          <w:rFonts w:ascii="Times New Roman" w:hAnsi="Times New Roman" w:eastAsia="Times New Roman" w:cs="Times New Roman"/>
        </w:rPr>
        <w:t>Uchwała Nr IX/56/89 Wojewódzkiej Rady Narodowej w Pile z dnia 31 maja 1989 r. w sprawie ustanowienia obszarów chronionego krajobrazu w województwie pilskim</w:t>
      </w:r>
      <w:r w:rsidRPr="63514737" w:rsidR="00565C96">
        <w:rPr>
          <w:rFonts w:ascii="Times New Roman" w:hAnsi="Times New Roman" w:eastAsia="Times New Roman" w:cs="Times New Roman"/>
        </w:rPr>
        <w:t xml:space="preserve"> (</w:t>
      </w:r>
      <w:r w:rsidRPr="63514737" w:rsidR="00565C96">
        <w:rPr>
          <w:rFonts w:ascii="Times New Roman" w:hAnsi="Times New Roman" w:eastAsia="Times New Roman" w:cs="Times New Roman"/>
        </w:rPr>
        <w:t>Dz. Urz. z 1989 r. Nr 11, poz. 95</w:t>
      </w:r>
      <w:r w:rsidRPr="63514737" w:rsidR="00565C96">
        <w:rPr>
          <w:rFonts w:ascii="Times New Roman" w:hAnsi="Times New Roman" w:eastAsia="Times New Roman" w:cs="Times New Roman"/>
        </w:rPr>
        <w:t xml:space="preserve">); </w:t>
      </w:r>
      <w:r w:rsidRPr="63514737" w:rsidR="00565C96">
        <w:rPr>
          <w:rFonts w:ascii="Times New Roman" w:hAnsi="Times New Roman" w:eastAsia="Times New Roman" w:cs="Times New Roman"/>
        </w:rPr>
        <w:t>Rozporządzenie Nr 1/90 Wojewody Pilskiego z dnia 27 grudnia 1990 roku zmieniające uchwałę Wojewódzkiej Rady Narodowej w Pile w sprawie ustanowienia obszarów chronionego krajobrazu w województwie pilskim</w:t>
      </w:r>
      <w:r w:rsidRPr="63514737" w:rsidR="00565C96">
        <w:rPr>
          <w:rFonts w:ascii="Times New Roman" w:hAnsi="Times New Roman" w:eastAsia="Times New Roman" w:cs="Times New Roman"/>
        </w:rPr>
        <w:t xml:space="preserve"> (Dz. Urz. Nr 2 poz. 2); </w:t>
      </w:r>
      <w:r w:rsidRPr="63514737" w:rsidR="00565C96">
        <w:rPr>
          <w:rFonts w:ascii="Times New Roman" w:hAnsi="Times New Roman" w:eastAsia="Times New Roman" w:cs="Times New Roman"/>
        </w:rPr>
        <w:t>Rozporządzenie Nr 5/98 Wojewody Pilskiego z dnia 15 maja 1998 r. w sprawie ustanowienia obszarów chronionego krajobrazu w województwie pilskim</w:t>
      </w:r>
      <w:r w:rsidRPr="63514737" w:rsidR="00565C96">
        <w:rPr>
          <w:rFonts w:ascii="Times New Roman" w:hAnsi="Times New Roman" w:eastAsia="Times New Roman" w:cs="Times New Roman"/>
        </w:rPr>
        <w:t xml:space="preserve"> (Dz. Urz. z 1998 r. nr 13, poz. 83)</w:t>
      </w:r>
    </w:p>
    <w:p w:rsidR="00565C96" w:rsidP="63514737" w:rsidRDefault="00565C96" w14:paraId="2D567601" w14:textId="77777777">
      <w:pPr>
        <w:widowControl/>
        <w:numPr>
          <w:ilvl w:val="0"/>
          <w:numId w:val="16"/>
        </w:numPr>
        <w:suppressAutoHyphens w:val="0"/>
        <w:autoSpaceDN/>
        <w:spacing w:after="200"/>
        <w:jc w:val="both"/>
        <w:textAlignment w:val="auto"/>
        <w:rPr>
          <w:rFonts w:ascii="Times New Roman" w:hAnsi="Times New Roman" w:eastAsia="Times New Roman" w:cs="Times New Roman"/>
        </w:rPr>
      </w:pPr>
      <w:r w:rsidRPr="63514737" w:rsidR="00565C96">
        <w:rPr>
          <w:rFonts w:ascii="Times New Roman" w:hAnsi="Times New Roman" w:eastAsia="Times New Roman" w:cs="Times New Roman"/>
        </w:rPr>
        <w:t>Specjalne Obszary Ochrony: Dolina Wełny – Decyzja Komisji</w:t>
      </w:r>
      <w:r w:rsidRPr="63514737" w:rsidR="00565C96">
        <w:rPr>
          <w:rFonts w:ascii="Times New Roman" w:hAnsi="Times New Roman" w:eastAsia="Times New Roman" w:cs="Times New Roman"/>
        </w:rPr>
        <w:t xml:space="preserve"> z dnia 10 stycznia 2011 r. w sprawie przyjęcia na mocy dyrektywy Rady 92/43/EWG czwartego zaktualizowanego wykazu terenów mających znaczenie dla Wspólnoty składających się na kontynentalny region biogeograficzny (notyfikowana jako dokument nr </w:t>
      </w:r>
      <w:proofErr w:type="gramStart"/>
      <w:r w:rsidRPr="63514737" w:rsidR="00565C96">
        <w:rPr>
          <w:rFonts w:ascii="Times New Roman" w:hAnsi="Times New Roman" w:eastAsia="Times New Roman" w:cs="Times New Roman"/>
        </w:rPr>
        <w:t>C(</w:t>
      </w:r>
      <w:proofErr w:type="gramEnd"/>
      <w:r w:rsidRPr="63514737" w:rsidR="00565C96">
        <w:rPr>
          <w:rFonts w:ascii="Times New Roman" w:hAnsi="Times New Roman" w:eastAsia="Times New Roman" w:cs="Times New Roman"/>
        </w:rPr>
        <w:t xml:space="preserve">2010) </w:t>
      </w:r>
      <w:proofErr w:type="gramStart"/>
      <w:r w:rsidRPr="63514737" w:rsidR="00565C96">
        <w:rPr>
          <w:rFonts w:ascii="Times New Roman" w:hAnsi="Times New Roman" w:eastAsia="Times New Roman" w:cs="Times New Roman"/>
        </w:rPr>
        <w:t>9669)(</w:t>
      </w:r>
      <w:proofErr w:type="gramEnd"/>
      <w:r w:rsidRPr="63514737" w:rsidR="00565C96">
        <w:rPr>
          <w:rFonts w:ascii="Times New Roman" w:hAnsi="Times New Roman" w:eastAsia="Times New Roman" w:cs="Times New Roman"/>
        </w:rPr>
        <w:t>2011/64/UE)</w:t>
      </w:r>
      <w:r w:rsidRPr="63514737" w:rsidR="00565C96">
        <w:rPr>
          <w:rFonts w:ascii="Times New Roman" w:hAnsi="Times New Roman" w:eastAsia="Times New Roman" w:cs="Times New Roman"/>
        </w:rPr>
        <w:t xml:space="preserve"> </w:t>
      </w:r>
    </w:p>
    <w:p w:rsidR="00565C96" w:rsidP="63514737" w:rsidRDefault="00565C96" w14:paraId="68F9C7CC" w14:textId="77777777">
      <w:pPr>
        <w:widowControl/>
        <w:numPr>
          <w:ilvl w:val="0"/>
          <w:numId w:val="16"/>
        </w:numPr>
        <w:suppressAutoHyphens w:val="0"/>
        <w:autoSpaceDN/>
        <w:spacing w:after="200"/>
        <w:jc w:val="both"/>
        <w:textAlignment w:val="auto"/>
        <w:rPr>
          <w:rFonts w:ascii="Times New Roman" w:hAnsi="Times New Roman" w:eastAsia="Times New Roman" w:cs="Times New Roman"/>
        </w:rPr>
      </w:pPr>
      <w:r w:rsidRPr="63514737" w:rsidR="00565C96">
        <w:rPr>
          <w:rFonts w:ascii="Times New Roman" w:hAnsi="Times New Roman" w:eastAsia="Times New Roman" w:cs="Times New Roman"/>
        </w:rPr>
        <w:t xml:space="preserve">Obszary Specjalnej Ochrony: Puszcza Notecka - </w:t>
      </w:r>
      <w:r w:rsidRPr="63514737" w:rsidR="00565C96">
        <w:rPr>
          <w:rFonts w:ascii="Times New Roman" w:hAnsi="Times New Roman" w:eastAsia="Times New Roman" w:cs="Times New Roman"/>
        </w:rPr>
        <w:t xml:space="preserve">rozporządzenie Ministra Środowiska z dnia 05.09.2007 r. zmieniające </w:t>
      </w:r>
      <w:proofErr w:type="spellStart"/>
      <w:r w:rsidRPr="63514737" w:rsidR="00565C96">
        <w:rPr>
          <w:rFonts w:ascii="Times New Roman" w:hAnsi="Times New Roman" w:eastAsia="Times New Roman" w:cs="Times New Roman"/>
        </w:rPr>
        <w:t>rozporzadzenie</w:t>
      </w:r>
      <w:proofErr w:type="spellEnd"/>
      <w:r w:rsidRPr="63514737" w:rsidR="00565C96">
        <w:rPr>
          <w:rFonts w:ascii="Times New Roman" w:hAnsi="Times New Roman" w:eastAsia="Times New Roman" w:cs="Times New Roman"/>
        </w:rPr>
        <w:t xml:space="preserve"> w sprawie obszarów specjalnej ochrony ptaków Natura 2000</w:t>
      </w:r>
      <w:r w:rsidRPr="63514737" w:rsidR="00565C96">
        <w:rPr>
          <w:rFonts w:ascii="Times New Roman" w:hAnsi="Times New Roman" w:eastAsia="Times New Roman" w:cs="Times New Roman"/>
        </w:rPr>
        <w:t xml:space="preserve"> (</w:t>
      </w:r>
      <w:r w:rsidRPr="63514737" w:rsidR="00565C96">
        <w:rPr>
          <w:rFonts w:ascii="Times New Roman" w:hAnsi="Times New Roman" w:eastAsia="Times New Roman" w:cs="Times New Roman"/>
        </w:rPr>
        <w:t>Dz.U.07.179.1275</w:t>
      </w:r>
      <w:r w:rsidRPr="63514737" w:rsidR="00565C96">
        <w:rPr>
          <w:rFonts w:ascii="Times New Roman" w:hAnsi="Times New Roman" w:eastAsia="Times New Roman" w:cs="Times New Roman"/>
        </w:rPr>
        <w:t xml:space="preserve">); </w:t>
      </w:r>
      <w:r w:rsidRPr="63514737" w:rsidR="00565C96">
        <w:rPr>
          <w:rFonts w:ascii="Times New Roman" w:hAnsi="Times New Roman" w:eastAsia="Times New Roman" w:cs="Times New Roman"/>
        </w:rPr>
        <w:t>Rozporządzenie Ministra Środowiska z dnia 12 stycznia 2011 r. w sprawie obszarów specjalnej ochrony ptaków</w:t>
      </w:r>
      <w:r w:rsidRPr="63514737" w:rsidR="00565C96">
        <w:rPr>
          <w:rFonts w:ascii="Times New Roman" w:hAnsi="Times New Roman" w:eastAsia="Times New Roman" w:cs="Times New Roman"/>
        </w:rPr>
        <w:t xml:space="preserve"> (Dz. U. 2011, nr 25 poz. 133)</w:t>
      </w:r>
    </w:p>
    <w:p w:rsidR="00565C96" w:rsidP="63514737" w:rsidRDefault="00565C96" w14:paraId="5172C93B" w14:textId="77777777">
      <w:pPr>
        <w:widowControl/>
        <w:numPr>
          <w:ilvl w:val="0"/>
          <w:numId w:val="16"/>
        </w:numPr>
        <w:suppressAutoHyphens w:val="0"/>
        <w:autoSpaceDN/>
        <w:spacing w:after="200"/>
        <w:jc w:val="both"/>
        <w:textAlignment w:val="auto"/>
        <w:rPr>
          <w:rFonts w:ascii="Times New Roman" w:hAnsi="Times New Roman" w:eastAsia="Times New Roman" w:cs="Times New Roman"/>
        </w:rPr>
      </w:pPr>
      <w:r w:rsidRPr="63514737" w:rsidR="00565C96">
        <w:rPr>
          <w:rFonts w:ascii="Times New Roman" w:hAnsi="Times New Roman" w:eastAsia="Times New Roman" w:cs="Times New Roman"/>
        </w:rPr>
        <w:t xml:space="preserve">Pomnik przyrody: grupa drzew (2 szt.) - </w:t>
      </w:r>
      <w:r w:rsidRPr="63514737" w:rsidR="00565C96">
        <w:rPr>
          <w:rFonts w:ascii="Times New Roman" w:hAnsi="Times New Roman" w:eastAsia="Times New Roman" w:cs="Times New Roman"/>
        </w:rPr>
        <w:t>Zarządzenie nr 82 Wojewody Pilskiego z 27.12.1984 r. w sprawie uznania za pomnik przyrody</w:t>
      </w:r>
      <w:r w:rsidRPr="63514737" w:rsidR="00565C96">
        <w:rPr>
          <w:rFonts w:ascii="Times New Roman" w:hAnsi="Times New Roman" w:eastAsia="Times New Roman" w:cs="Times New Roman"/>
        </w:rPr>
        <w:t xml:space="preserve"> (</w:t>
      </w:r>
      <w:r w:rsidRPr="63514737" w:rsidR="00565C96">
        <w:rPr>
          <w:rFonts w:ascii="Times New Roman" w:hAnsi="Times New Roman" w:eastAsia="Times New Roman" w:cs="Times New Roman"/>
        </w:rPr>
        <w:t>Dz. Urz. nr 9 poz. 127 z 1984 r.</w:t>
      </w:r>
      <w:r w:rsidRPr="63514737" w:rsidR="00565C96">
        <w:rPr>
          <w:rFonts w:ascii="Times New Roman" w:hAnsi="Times New Roman" w:eastAsia="Times New Roman" w:cs="Times New Roman"/>
        </w:rPr>
        <w:t>)</w:t>
      </w:r>
    </w:p>
    <w:p w:rsidR="00565C96" w:rsidP="63514737" w:rsidRDefault="00565C96" w14:paraId="3B9EBA65" w14:textId="77777777">
      <w:pPr>
        <w:widowControl/>
        <w:numPr>
          <w:ilvl w:val="0"/>
          <w:numId w:val="16"/>
        </w:numPr>
        <w:suppressAutoHyphens w:val="0"/>
        <w:autoSpaceDN/>
        <w:spacing w:after="200"/>
        <w:jc w:val="both"/>
        <w:textAlignment w:val="auto"/>
        <w:rPr>
          <w:rFonts w:ascii="Times New Roman" w:hAnsi="Times New Roman" w:eastAsia="Times New Roman" w:cs="Times New Roman"/>
        </w:rPr>
      </w:pPr>
      <w:r w:rsidRPr="63514737" w:rsidR="00565C96">
        <w:rPr>
          <w:rFonts w:ascii="Times New Roman" w:hAnsi="Times New Roman" w:eastAsia="Times New Roman" w:cs="Times New Roman"/>
        </w:rPr>
        <w:t xml:space="preserve">Pomnik przyrody: grupa drzew (6 szt.): </w:t>
      </w:r>
      <w:r w:rsidRPr="63514737" w:rsidR="00565C96">
        <w:rPr>
          <w:rFonts w:ascii="Times New Roman" w:hAnsi="Times New Roman" w:eastAsia="Times New Roman" w:cs="Times New Roman"/>
        </w:rPr>
        <w:t xml:space="preserve">Dąb szypułkowy - </w:t>
      </w:r>
      <w:proofErr w:type="spellStart"/>
      <w:r w:rsidRPr="63514737" w:rsidR="00565C96">
        <w:rPr>
          <w:rFonts w:ascii="Times New Roman" w:hAnsi="Times New Roman" w:eastAsia="Times New Roman" w:cs="Times New Roman"/>
        </w:rPr>
        <w:t>Quercus</w:t>
      </w:r>
      <w:proofErr w:type="spellEnd"/>
      <w:r w:rsidRPr="63514737" w:rsidR="00565C96">
        <w:rPr>
          <w:rFonts w:ascii="Times New Roman" w:hAnsi="Times New Roman" w:eastAsia="Times New Roman" w:cs="Times New Roman"/>
        </w:rPr>
        <w:t xml:space="preserve"> robur</w:t>
      </w:r>
      <w:r w:rsidRPr="63514737" w:rsidR="00565C96">
        <w:rPr>
          <w:rFonts w:ascii="Times New Roman" w:hAnsi="Times New Roman" w:eastAsia="Times New Roman" w:cs="Times New Roman"/>
        </w:rPr>
        <w:t xml:space="preserve"> - </w:t>
      </w:r>
      <w:r w:rsidRPr="63514737" w:rsidR="00565C96">
        <w:rPr>
          <w:rFonts w:ascii="Times New Roman" w:hAnsi="Times New Roman" w:eastAsia="Times New Roman" w:cs="Times New Roman"/>
        </w:rPr>
        <w:t>Rozporządzenie Nr 2/96 Wojewody Pilskiego z dnia 5 czerwca 1996 r. w sprawie uznania za pomniki przyrody</w:t>
      </w:r>
      <w:r w:rsidRPr="63514737" w:rsidR="00565C96">
        <w:rPr>
          <w:rFonts w:ascii="Times New Roman" w:hAnsi="Times New Roman" w:eastAsia="Times New Roman" w:cs="Times New Roman"/>
        </w:rPr>
        <w:t xml:space="preserve"> (</w:t>
      </w:r>
      <w:r w:rsidRPr="63514737" w:rsidR="00565C96">
        <w:rPr>
          <w:rFonts w:ascii="Times New Roman" w:hAnsi="Times New Roman" w:eastAsia="Times New Roman" w:cs="Times New Roman"/>
        </w:rPr>
        <w:t>Dz. Urz. Woj. Pilskiego z 17 czerwca 1996 r. Nr 14 poz. 50</w:t>
      </w:r>
      <w:r w:rsidRPr="63514737" w:rsidR="00565C96">
        <w:rPr>
          <w:rFonts w:ascii="Times New Roman" w:hAnsi="Times New Roman" w:eastAsia="Times New Roman" w:cs="Times New Roman"/>
        </w:rPr>
        <w:t>) – na terenie aglomeracji zlokalizowane są 2 z 6 drzew.</w:t>
      </w:r>
    </w:p>
    <w:bookmarkEnd w:id="0"/>
    <w:p w:rsidR="00565C96" w:rsidP="63514737" w:rsidRDefault="00565C96" w14:paraId="3BAC0A17" w14:textId="77777777">
      <w:pPr>
        <w:pStyle w:val="Standard"/>
        <w:shd w:val="clear" w:color="auto" w:fill="FFFFFF" w:themeFill="background1"/>
        <w:spacing w:after="240"/>
        <w:ind w:firstLine="567"/>
        <w:jc w:val="both"/>
        <w:rPr>
          <w:rFonts w:ascii="Times New Roman" w:hAnsi="Times New Roman" w:eastAsia="Times New Roman" w:cs="Times New Roman"/>
        </w:rPr>
      </w:pPr>
    </w:p>
    <w:p w:rsidR="00F248E9" w:rsidP="63514737" w:rsidRDefault="00E04582" w14:paraId="2AC900BD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Wszystkie wymienione w uchwale nazwy miejscowości są zgodne z Wykazem urzędowych nazw miejscowości.</w:t>
      </w:r>
    </w:p>
    <w:p w:rsidR="00F248E9" w:rsidP="63514737" w:rsidRDefault="00E04582" w14:paraId="7C2E0E99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Obszar i przebieg granic przedmiotowej aglomeracji określono na mapie w skali 1:10 000, która stanowi załącznik do przedmiotowej uchwały. Zgodnie z rozporządzeniem Ministra Gospodarki Morskiej i Żeglugi Śródlądowej z dnia 27 lipca 2018 r. w sprawie sposobu wyznaczania obszarów i granic aglomeracji (Dz. U. poz. 1586), granica aglomeracji przebiega wzdłuż zewnętrznych działek ewidencyjnych - zabudowanych albo przeznaczonych pod zabudowę, skanalizowanych albo przewidzianych do skanalizowania.</w:t>
      </w:r>
    </w:p>
    <w:p w:rsidR="00F248E9" w:rsidP="63514737" w:rsidRDefault="00E04582" w14:paraId="0DF30FC7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Uchwała nie narusza obowiązków gminy w zakresie odprowadzania i oczyszczania ścieków komunalnych wynikających z przepisów o samorządzie gminnym.</w:t>
      </w:r>
    </w:p>
    <w:p w:rsidR="00F248E9" w:rsidP="63514737" w:rsidRDefault="00E04582" w14:paraId="40B0F313" w14:textId="77777777">
      <w:pPr>
        <w:pStyle w:val="Standard"/>
        <w:shd w:val="clear" w:color="auto" w:fill="FFFFFF" w:themeFill="background1"/>
        <w:ind w:firstLine="567"/>
        <w:jc w:val="both"/>
        <w:rPr>
          <w:rFonts w:ascii="Times New Roman" w:hAnsi="Times New Roman" w:eastAsia="Times New Roman" w:cs="Times New Roman"/>
        </w:rPr>
      </w:pPr>
      <w:r w:rsidRPr="63514737" w:rsidR="00E04582">
        <w:rPr>
          <w:rFonts w:ascii="Times New Roman" w:hAnsi="Times New Roman" w:eastAsia="Times New Roman" w:cs="Times New Roman"/>
        </w:rPr>
        <w:t>Rada Miejska Rogoźno podejmuje niniejszą uchwałę po uzgodnieniu przez Burmistrza Rogoźna z właściwymi organami administracji publicznej.</w:t>
      </w:r>
    </w:p>
    <w:sectPr w:rsidR="00F248E9">
      <w:footerReference w:type="default" r:id="rId7"/>
      <w:pgSz w:w="11906" w:h="16838" w:orient="portrait"/>
      <w:pgMar w:top="1417" w:right="1417" w:bottom="1417" w:left="1417" w:header="708" w:footer="708" w:gutter="0"/>
      <w:cols w:space="708"/>
      <w:headerReference w:type="default" r:id="R72da0a571e2e4db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0FDB" w:rsidRDefault="00120FDB" w14:paraId="64584282" w14:textId="77777777">
      <w:r>
        <w:separator/>
      </w:r>
    </w:p>
  </w:endnote>
  <w:endnote w:type="continuationSeparator" w:id="0">
    <w:p w:rsidR="00120FDB" w:rsidRDefault="00120FDB" w14:paraId="72A5CE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6B6A" w:rsidRDefault="00E04582" w14:paraId="543310CF" w14:textId="77777777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0FDB" w:rsidRDefault="00120FDB" w14:paraId="08280927" w14:textId="77777777">
      <w:r>
        <w:rPr>
          <w:color w:val="000000"/>
        </w:rPr>
        <w:separator/>
      </w:r>
    </w:p>
  </w:footnote>
  <w:footnote w:type="continuationSeparator" w:id="0">
    <w:p w:rsidR="00120FDB" w:rsidRDefault="00120FDB" w14:paraId="5FBD4E6C" w14:textId="77777777">
      <w:r>
        <w:continuationSeparator/>
      </w:r>
    </w:p>
  </w:footnote>
  <w:footnote w:id="1">
    <w:p w:rsidR="00F248E9" w:rsidRDefault="00E04582" w14:paraId="21575A29" w14:textId="1269BDE7">
      <w:pPr>
        <w:pStyle w:val="Standard"/>
        <w:jc w:val="both"/>
      </w:pPr>
      <w:r>
        <w:rPr>
          <w:rStyle w:val="Odwoanieprzypisudolnego"/>
        </w:rPr>
        <w:footnoteRef/>
      </w:r>
      <w:r w:rsidR="63514737">
        <w:rPr/>
        <w:t xml:space="preserve"> Niniejsza uchwała była poprzedzona uchwałą nr 162/06 z dnia 31 lipca 2006 r. w sprawie wyznaczenia aglomeracji Rogoźno (</w:t>
      </w:r>
      <w:r w:rsidRPr="63514737" w:rsidR="635147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6282A"/>
          <w:sz w:val="22"/>
          <w:szCs w:val="22"/>
          <w:lang w:val="pl-PL"/>
        </w:rPr>
        <w:t xml:space="preserve">Dz. Urz. Woj. </w:t>
      </w:r>
      <w:proofErr w:type="spellStart"/>
      <w:r w:rsidRPr="63514737" w:rsidR="635147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6282A"/>
          <w:sz w:val="22"/>
          <w:szCs w:val="22"/>
          <w:lang w:val="pl-PL"/>
        </w:rPr>
        <w:t>Wlkp</w:t>
      </w:r>
      <w:proofErr w:type="spellEnd"/>
      <w:r w:rsidRPr="63514737" w:rsidR="635147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6282A"/>
          <w:sz w:val="22"/>
          <w:szCs w:val="22"/>
          <w:lang w:val="pl-PL"/>
        </w:rPr>
        <w:t xml:space="preserve"> z 2006 r. Nr 133, poz. 3248</w:t>
      </w:r>
      <w:r w:rsidR="63514737">
        <w:rPr/>
        <w:t xml:space="preserve">), która traci moc z dniem wejścia w życie niniejszej uchwały zgodnie z art. 565 ust. 2 ustawy z dnia 20 lipca 2017 r. – Prawo wodne (Dz. U. 2020 r. poz. 310 z </w:t>
      </w:r>
      <w:proofErr w:type="spellStart"/>
      <w:r w:rsidR="63514737">
        <w:rPr/>
        <w:t xml:space="preserve">późn</w:t>
      </w:r>
      <w:proofErr w:type="spellEnd"/>
      <w:r w:rsidR="63514737">
        <w:rPr/>
        <w:t xml:space="preserve">. zm.).</w:t>
      </w:r>
    </w:p>
    <w:p w:rsidR="00F248E9" w:rsidRDefault="00F248E9" w14:paraId="2F2AA50C" w14:textId="77777777">
      <w:pPr>
        <w:pStyle w:val="Tekstprzypisudolneg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3514737" w:rsidTr="63514737" w14:paraId="5E630CB5">
      <w:tc>
        <w:tcPr>
          <w:tcW w:w="3020" w:type="dxa"/>
          <w:tcMar/>
        </w:tcPr>
        <w:p w:rsidR="63514737" w:rsidP="63514737" w:rsidRDefault="63514737" w14:paraId="67E86BD0" w14:textId="2A13F227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3514737" w:rsidP="63514737" w:rsidRDefault="63514737" w14:paraId="03BA9612" w14:textId="74AE9FAC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63514737" w:rsidP="63514737" w:rsidRDefault="63514737" w14:paraId="7EC8F1E0" w14:textId="3918AD7B">
          <w:pPr>
            <w:pStyle w:val="Nagwek"/>
            <w:bidi w:val="0"/>
            <w:ind w:right="-115"/>
            <w:jc w:val="right"/>
          </w:pPr>
        </w:p>
      </w:tc>
    </w:tr>
  </w:tbl>
  <w:p w:rsidR="63514737" w:rsidP="63514737" w:rsidRDefault="63514737" w14:paraId="7AD6A37A" w14:textId="13A8C630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687"/>
    <w:multiLevelType w:val="multilevel"/>
    <w:tmpl w:val="E5883AA6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0E65889"/>
    <w:multiLevelType w:val="multilevel"/>
    <w:tmpl w:val="A0AC4FA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0FD3B97"/>
    <w:multiLevelType w:val="multilevel"/>
    <w:tmpl w:val="AEF45FD4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46147DB"/>
    <w:multiLevelType w:val="multilevel"/>
    <w:tmpl w:val="BEFC4A9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0932ACE"/>
    <w:multiLevelType w:val="multilevel"/>
    <w:tmpl w:val="B034333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91D3CC2"/>
    <w:multiLevelType w:val="multilevel"/>
    <w:tmpl w:val="38A8D87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FA90869"/>
    <w:multiLevelType w:val="multilevel"/>
    <w:tmpl w:val="C952071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43FE3766"/>
    <w:multiLevelType w:val="multilevel"/>
    <w:tmpl w:val="160E6350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72808FA"/>
    <w:multiLevelType w:val="multilevel"/>
    <w:tmpl w:val="0C0A5264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9DD56C5"/>
    <w:multiLevelType w:val="multilevel"/>
    <w:tmpl w:val="0588861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B524ACE"/>
    <w:multiLevelType w:val="multilevel"/>
    <w:tmpl w:val="04D847EC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51D44C7"/>
    <w:multiLevelType w:val="multilevel"/>
    <w:tmpl w:val="B82E3930"/>
    <w:styleLink w:val="WWNum13"/>
    <w:lvl w:ilvl="0">
      <w:start w:val="1"/>
      <w:numFmt w:val="decimal"/>
      <w:lvlText w:val="%1."/>
      <w:lvlJc w:val="left"/>
      <w:pPr>
        <w:ind/>
      </w:p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00C59F7"/>
    <w:multiLevelType w:val="multilevel"/>
    <w:tmpl w:val="40A4548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02B62AD"/>
    <w:multiLevelType w:val="multilevel"/>
    <w:tmpl w:val="20C224FA"/>
    <w:lvl w:ilvl="0" w:tplc="3E16236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14B215D"/>
    <w:multiLevelType w:val="multilevel"/>
    <w:tmpl w:val="4B50C01E"/>
    <w:styleLink w:val="WWNum12"/>
    <w:lvl w:ilvl="0">
      <w:numFmt w:val="bullet"/>
      <w:lvlText w:val="-"/>
      <w:lvlJc w:val="left"/>
      <w:rPr>
        <w:rFonts w:ascii="Times New Roman" w:hAnsi="Times New Roman" w:eastAsia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6"/>
  </w:num>
  <w:num w:numId="1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E9"/>
    <w:rsid w:val="00072F7D"/>
    <w:rsid w:val="00120FDB"/>
    <w:rsid w:val="00565C96"/>
    <w:rsid w:val="0096079B"/>
    <w:rsid w:val="00E04582"/>
    <w:rsid w:val="00F248E9"/>
    <w:rsid w:val="12303835"/>
    <w:rsid w:val="12441DAA"/>
    <w:rsid w:val="145D1255"/>
    <w:rsid w:val="2EBCFE25"/>
    <w:rsid w:val="322C53BD"/>
    <w:rsid w:val="35B297FF"/>
    <w:rsid w:val="3C0E7712"/>
    <w:rsid w:val="48B9A691"/>
    <w:rsid w:val="5E7DD614"/>
    <w:rsid w:val="63514737"/>
    <w:rsid w:val="664EC982"/>
    <w:rsid w:val="79E31345"/>
    <w:rsid w:val="7CFD1270"/>
    <w:rsid w:val="7DDF8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AFA5"/>
  <w15:docId w15:val="{FDC98332-9D71-4C0F-8B13-254F2B9C44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SimSun" w:cs="F1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bC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/>
      <w:spacing w:after="160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rFonts w:cs="Arial"/>
    </w:rPr>
  </w:style>
  <w:style w:type="paragraph" w:styleId="Tekstpodstawowywcity2">
    <w:name w:val="Body Text Indent 2"/>
    <w:basedOn w:val="Standard"/>
    <w:pPr>
      <w:spacing w:after="200" w:line="276" w:lineRule="auto"/>
      <w:ind w:left="432"/>
    </w:pPr>
    <w:rPr>
      <w:rFonts w:eastAsia="Calibri" w:cs="Times New Roman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styleId="Tekstpodstawowywcity2Znak" w:customStyle="1">
    <w:name w:val="Tekst podstawowy wcięty 2 Znak"/>
    <w:basedOn w:val="Domylnaczcionkaakapitu"/>
    <w:rPr>
      <w:rFonts w:ascii="Calibri" w:hAnsi="Calibri" w:eastAsia="Calibri" w:cs="Times New Roman"/>
    </w:rPr>
  </w:style>
  <w:style w:type="character" w:styleId="TekstdymkaZnak" w:customStyle="1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TekstkomentarzaZnak" w:customStyle="1">
    <w:name w:val="Tekst komentarza Znak"/>
    <w:basedOn w:val="Domylnaczcionkaakapitu"/>
    <w:rPr>
      <w:sz w:val="20"/>
      <w:szCs w:val="20"/>
    </w:rPr>
  </w:style>
  <w:style w:type="character" w:styleId="NagwekZnak" w:customStyle="1">
    <w:name w:val="Nagłówek Znak"/>
    <w:basedOn w:val="Domylnaczcionkaakapitu"/>
  </w:style>
  <w:style w:type="character" w:styleId="StopkaZnak" w:customStyle="1">
    <w:name w:val="Stopka Znak"/>
    <w:basedOn w:val="Domylnaczcionkaakapitu"/>
  </w:style>
  <w:style w:type="character" w:styleId="CharStyle19" w:customStyle="1">
    <w:name w:val="Char Style 19"/>
    <w:rPr>
      <w:rFonts w:cs="Times New Roman"/>
      <w:b/>
      <w:bCs/>
      <w:sz w:val="26"/>
      <w:szCs w:val="26"/>
      <w:u w:val="none"/>
    </w:rPr>
  </w:style>
  <w:style w:type="character" w:styleId="Tekstpodstawowywcity3Znak" w:customStyle="1">
    <w:name w:val="Tekst podstawowy wcięty 3 Znak"/>
    <w:basedOn w:val="Domylnaczcionkaakapitu"/>
    <w:rPr>
      <w:sz w:val="16"/>
      <w:szCs w:val="16"/>
    </w:rPr>
  </w:style>
  <w:style w:type="character" w:styleId="Nagwek1Znak" w:customStyle="1">
    <w:name w:val="Nagłówek 1 Znak"/>
    <w:basedOn w:val="Domylnaczcionkaakapitu"/>
    <w:rPr>
      <w:b/>
      <w:bCs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eastAsia="Calibri" w:cs="Times New Roman"/>
    </w:rPr>
  </w:style>
  <w:style w:type="numbering" w:styleId="WWNum1" w:customStyle="1">
    <w:name w:val="WWNum1"/>
    <w:basedOn w:val="Bezlisty"/>
    <w:pPr>
      <w:numPr>
        <w:numId w:val="1"/>
      </w:numPr>
    </w:pPr>
  </w:style>
  <w:style w:type="numbering" w:styleId="WWNum2" w:customStyle="1">
    <w:name w:val="WWNum2"/>
    <w:basedOn w:val="Bezlisty"/>
    <w:pPr>
      <w:numPr>
        <w:numId w:val="2"/>
      </w:numPr>
    </w:pPr>
  </w:style>
  <w:style w:type="numbering" w:styleId="WWNum3" w:customStyle="1">
    <w:name w:val="WWNum3"/>
    <w:basedOn w:val="Bezlisty"/>
    <w:pPr>
      <w:numPr>
        <w:numId w:val="3"/>
      </w:numPr>
    </w:pPr>
  </w:style>
  <w:style w:type="numbering" w:styleId="WWNum4" w:customStyle="1">
    <w:name w:val="WWNum4"/>
    <w:basedOn w:val="Bezlisty"/>
    <w:pPr>
      <w:numPr>
        <w:numId w:val="4"/>
      </w:numPr>
    </w:pPr>
  </w:style>
  <w:style w:type="numbering" w:styleId="WWNum5" w:customStyle="1">
    <w:name w:val="WWNum5"/>
    <w:basedOn w:val="Bezlisty"/>
    <w:pPr>
      <w:numPr>
        <w:numId w:val="5"/>
      </w:numPr>
    </w:pPr>
  </w:style>
  <w:style w:type="numbering" w:styleId="WWNum6" w:customStyle="1">
    <w:name w:val="WWNum6"/>
    <w:basedOn w:val="Bezlisty"/>
    <w:pPr>
      <w:numPr>
        <w:numId w:val="6"/>
      </w:numPr>
    </w:pPr>
  </w:style>
  <w:style w:type="numbering" w:styleId="WWNum7" w:customStyle="1">
    <w:name w:val="WWNum7"/>
    <w:basedOn w:val="Bezlisty"/>
    <w:pPr>
      <w:numPr>
        <w:numId w:val="7"/>
      </w:numPr>
    </w:pPr>
  </w:style>
  <w:style w:type="numbering" w:styleId="WWNum8" w:customStyle="1">
    <w:name w:val="WWNum8"/>
    <w:basedOn w:val="Bezlisty"/>
    <w:pPr>
      <w:numPr>
        <w:numId w:val="8"/>
      </w:numPr>
    </w:pPr>
  </w:style>
  <w:style w:type="numbering" w:styleId="WWNum9" w:customStyle="1">
    <w:name w:val="WWNum9"/>
    <w:basedOn w:val="Bezlisty"/>
    <w:pPr>
      <w:numPr>
        <w:numId w:val="9"/>
      </w:numPr>
    </w:pPr>
  </w:style>
  <w:style w:type="numbering" w:styleId="WWNum10" w:customStyle="1">
    <w:name w:val="WWNum10"/>
    <w:basedOn w:val="Bezlisty"/>
    <w:pPr>
      <w:numPr>
        <w:numId w:val="10"/>
      </w:numPr>
    </w:pPr>
  </w:style>
  <w:style w:type="numbering" w:styleId="WWNum11" w:customStyle="1">
    <w:name w:val="WWNum11"/>
    <w:basedOn w:val="Bezlisty"/>
    <w:pPr>
      <w:numPr>
        <w:numId w:val="11"/>
      </w:numPr>
    </w:pPr>
  </w:style>
  <w:style w:type="numbering" w:styleId="WWNum12" w:customStyle="1">
    <w:name w:val="WWNum12"/>
    <w:basedOn w:val="Bezlisty"/>
    <w:pPr>
      <w:numPr>
        <w:numId w:val="12"/>
      </w:numPr>
    </w:pPr>
  </w:style>
  <w:style w:type="numbering" w:styleId="WWNum13" w:customStyle="1">
    <w:name w:val="WWNum13"/>
    <w:basedOn w:val="Bezlisty"/>
    <w:pPr>
      <w:numPr>
        <w:numId w:val="13"/>
      </w:numPr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72da0a571e2e4db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0F12569DE49459BF024979FA39AF9" ma:contentTypeVersion="12" ma:contentTypeDescription="Utwórz nowy dokument." ma:contentTypeScope="" ma:versionID="f7f3f31e68afc8d0e28ea37707369677">
  <xsd:schema xmlns:xsd="http://www.w3.org/2001/XMLSchema" xmlns:xs="http://www.w3.org/2001/XMLSchema" xmlns:p="http://schemas.microsoft.com/office/2006/metadata/properties" xmlns:ns2="765fd7d6-51e7-4812-b72e-20eafb1163f6" xmlns:ns3="e1359b10-314b-414b-9412-b09f47d0d791" targetNamespace="http://schemas.microsoft.com/office/2006/metadata/properties" ma:root="true" ma:fieldsID="e34316aaf68b5a80f5d07ce95c468f6d" ns2:_="" ns3:_="">
    <xsd:import namespace="765fd7d6-51e7-4812-b72e-20eafb1163f6"/>
    <xsd:import namespace="e1359b10-314b-414b-9412-b09f47d0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d7d6-51e7-4812-b72e-20eafb116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9b10-314b-414b-9412-b09f47d0d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8A2D9-191F-4765-9BFC-E0EF2AF0B4D8}"/>
</file>

<file path=customXml/itemProps2.xml><?xml version="1.0" encoding="utf-8"?>
<ds:datastoreItem xmlns:ds="http://schemas.openxmlformats.org/officeDocument/2006/customXml" ds:itemID="{D5D37C3B-5B99-4C1D-AC65-DF01A41AE66E}"/>
</file>

<file path=customXml/itemProps3.xml><?xml version="1.0" encoding="utf-8"?>
<ds:datastoreItem xmlns:ds="http://schemas.openxmlformats.org/officeDocument/2006/customXml" ds:itemID="{E79CACBF-D379-4D25-A5FA-171CF0081E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Robert S</dc:creator>
  <lastModifiedBy>Filip Pawłowski</lastModifiedBy>
  <revision>4</revision>
  <lastPrinted>2019-09-30T07:22:00.0000000Z</lastPrinted>
  <dcterms:created xsi:type="dcterms:W3CDTF">2020-12-21T06:51:00.0000000Z</dcterms:created>
  <dcterms:modified xsi:type="dcterms:W3CDTF">2020-12-30T12:41:50.9509245Z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0x010100CBF0F12569DE49459BF024979FA39AF9</vt:lpwstr>
  </property>
</Properties>
</file>