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4"/>
          <w:szCs w:val="24"/>
        </w:rPr>
      </w:pPr>
      <w:r w:rsidRPr="00E133A4">
        <w:rPr>
          <w:rFonts w:ascii="Arial" w:hAnsi="Arial" w:cs="Arial"/>
          <w:b/>
          <w:bCs/>
          <w:sz w:val="24"/>
          <w:szCs w:val="24"/>
        </w:rPr>
        <w:t>UZASADNIENIE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4"/>
          <w:szCs w:val="24"/>
        </w:rPr>
      </w:pPr>
      <w:r w:rsidRPr="00E133A4">
        <w:rPr>
          <w:rFonts w:ascii="Arial" w:hAnsi="Arial" w:cs="Arial"/>
          <w:b/>
          <w:bCs/>
          <w:sz w:val="24"/>
          <w:szCs w:val="24"/>
        </w:rPr>
        <w:t>Objaśnienia przyjętych wartości do Wieloletniej Prognozy Finansowej Gminy Rogoźno na lata 2021-2037.</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 Wieloletniej Prognozie Finansowej Gminy Rogoźno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(Dz. U. z 2019 r. poz. 1903) oraz Rozporządzenia Ministra Finansów z dnia 10 sierpnia 2020 r. (Dz. U. z 2020 r. poz. 1381).</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Podstawą opracowania Wieloletniej Prognozy Finansowej Gminy Rogoźno jest projekt uchwały budżetowej na 2021 rok, dane sprawozdawcze z wykonania budżetu Gminy Rogoźno za lata 2018 i 2019, wartości planowane na koniec III kwartału 2020 roku oraz Wytyczne Ministra Finansów dotyczące stosowania jednolitych wskaźników makroekonomicznych, będących podstawą oszacowania skutków finansowych projektowanych ustaw (aktualizacja – lipiec 2020 r.). W kolumnie pomocniczej dotyczącej przewidywanego wykonania w 2020 roku wprowadzono wartości, zgodnie z aktualnym planem budżetu Gminy Rogoźno na dzień przygotowania projektu.</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Art. 227 ust. 1 ustawy z dnia 27 sierpnia 2009 roku o finansach publicznych (</w:t>
      </w:r>
      <w:proofErr w:type="spellStart"/>
      <w:r w:rsidRPr="00E133A4">
        <w:rPr>
          <w:rFonts w:ascii="Arial" w:hAnsi="Arial" w:cs="Arial"/>
        </w:rPr>
        <w:t>t.j</w:t>
      </w:r>
      <w:proofErr w:type="spellEnd"/>
      <w:r w:rsidRPr="00E133A4">
        <w:rPr>
          <w:rFonts w:ascii="Arial" w:hAnsi="Arial" w:cs="Arial"/>
        </w:rPr>
        <w:t>. Dz. U. z 2019 r. poz. 869 z </w:t>
      </w:r>
      <w:proofErr w:type="spellStart"/>
      <w:r w:rsidRPr="00E133A4">
        <w:rPr>
          <w:rFonts w:ascii="Arial" w:hAnsi="Arial" w:cs="Arial"/>
        </w:rPr>
        <w:t>późn</w:t>
      </w:r>
      <w:proofErr w:type="spellEnd"/>
      <w:r w:rsidRPr="00E133A4">
        <w:rPr>
          <w:rFonts w:ascii="Arial" w:hAnsi="Arial" w:cs="Arial"/>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2037. W związku z powyższym, Wieloletnia Prognoza Finansowa Gminy Rogoźno została przygotowana na lata 2021-2037.</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Kwoty wydatków wynikające z limitów wydatków na przedsięwzięcia nie wykraczają poza okres prognozy kwoty długu. Nie planuje się także wydatków z tytułu niewymagalnych poręczeń i gwarancji, które przekraczałyby okres prognozy kwoty długu.</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1. Założenia makroekonomiczne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 xml:space="preserve">Przy opracowaniu prognozy pozycji budżetowych Gminy Rogoźno wykorzystano trzy podstawowe mierniki koniunktury gospodarczej – produkt krajowy brutto (PKB) oraz wskaźnik inflacji (CPI) oraz wskaźnik wynagrodzeń. Na ich podstawie oszacowano wartości dochodów i wydatków Gminy Rogoźno, co, dzięki konstrukcji i zaawansowanym metodom dokonywania obliczeń, pozwoli realizować w przyszłości </w:t>
      </w:r>
      <w:r w:rsidRPr="00E133A4">
        <w:rPr>
          <w:rFonts w:ascii="Arial" w:hAnsi="Arial" w:cs="Arial"/>
        </w:rPr>
        <w:lastRenderedPageBreak/>
        <w:t>właściwą politykę finansową jednostki.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Zgodnie z zaleceniami Ministra Finansów, prognozę wskazanych pozycji oparto o Wytyczne dotyczące stosowania jednolitych wskaźników makroekonomicznych będących podstawą oszacowania skutków finansowych projektowanych ustaw. Ostatnia dostępna aktualizacja ww. wytycznych miała miejsce w lipcu 2020 r., a dane wynikające z powołanego dokumentu prezentuje tabela 1.</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1. Dane makroekonomiczne przyjęte do wyliczeń prognozy</w:t>
      </w:r>
    </w:p>
    <w:tbl>
      <w:tblPr>
        <w:tblW w:w="0" w:type="auto"/>
        <w:tblInd w:w="10" w:type="dxa"/>
        <w:tblLayout w:type="fixed"/>
        <w:tblCellMar>
          <w:left w:w="10" w:type="dxa"/>
          <w:right w:w="10" w:type="dxa"/>
        </w:tblCellMar>
        <w:tblLook w:val="0000" w:firstRow="0" w:lastRow="0" w:firstColumn="0" w:lastColumn="0" w:noHBand="0" w:noVBand="0"/>
      </w:tblPr>
      <w:tblGrid>
        <w:gridCol w:w="1791"/>
        <w:gridCol w:w="714"/>
        <w:gridCol w:w="715"/>
        <w:gridCol w:w="834"/>
        <w:gridCol w:w="834"/>
        <w:gridCol w:w="716"/>
        <w:gridCol w:w="834"/>
        <w:gridCol w:w="762"/>
      </w:tblGrid>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b/>
                <w:bCs/>
                <w:sz w:val="20"/>
                <w:szCs w:val="20"/>
              </w:rPr>
              <w:t>Wskaźnik</w:t>
            </w:r>
          </w:p>
        </w:tc>
        <w:tc>
          <w:tcPr>
            <w:tcW w:w="7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2021</w:t>
            </w:r>
          </w:p>
        </w:tc>
        <w:tc>
          <w:tcPr>
            <w:tcW w:w="715"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2022</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2023</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2024</w:t>
            </w:r>
          </w:p>
        </w:tc>
        <w:tc>
          <w:tcPr>
            <w:tcW w:w="716"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2025</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2026</w:t>
            </w:r>
          </w:p>
        </w:tc>
        <w:tc>
          <w:tcPr>
            <w:tcW w:w="76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2027</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PKB</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4,00%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3,40%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3,10%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3,10%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Inflacja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1,80%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2,20%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Wynagrodzenia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1,50%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2,20%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2,70%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2,90%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b/>
                <w:bCs/>
                <w:sz w:val="20"/>
                <w:szCs w:val="20"/>
              </w:rPr>
              <w:t>Wskaźnik</w:t>
            </w:r>
          </w:p>
        </w:tc>
        <w:tc>
          <w:tcPr>
            <w:tcW w:w="7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2028</w:t>
            </w:r>
          </w:p>
        </w:tc>
        <w:tc>
          <w:tcPr>
            <w:tcW w:w="715"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2029</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2030</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2031</w:t>
            </w:r>
          </w:p>
        </w:tc>
        <w:tc>
          <w:tcPr>
            <w:tcW w:w="716"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2032</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2033</w:t>
            </w:r>
          </w:p>
        </w:tc>
        <w:tc>
          <w:tcPr>
            <w:tcW w:w="76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2034</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PKB</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2,80%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2,80%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2,70%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2,60%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Inflacja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Wynagrodzenia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716"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3,00%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2,90%</w:t>
            </w:r>
          </w:p>
        </w:tc>
        <w:tc>
          <w:tcPr>
            <w:tcW w:w="76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2,90%</w:t>
            </w: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b/>
                <w:bCs/>
                <w:sz w:val="20"/>
                <w:szCs w:val="20"/>
              </w:rPr>
              <w:t>Wskaźnik</w:t>
            </w:r>
          </w:p>
        </w:tc>
        <w:tc>
          <w:tcPr>
            <w:tcW w:w="7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2035</w:t>
            </w:r>
          </w:p>
        </w:tc>
        <w:tc>
          <w:tcPr>
            <w:tcW w:w="715"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2036</w:t>
            </w:r>
          </w:p>
        </w:tc>
        <w:tc>
          <w:tcPr>
            <w:tcW w:w="83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2037</w:t>
            </w:r>
          </w:p>
        </w:tc>
        <w:tc>
          <w:tcPr>
            <w:tcW w:w="3146" w:type="dxa"/>
            <w:gridSpan w:val="4"/>
            <w:vMerge w:val="restart"/>
            <w:tcBorders>
              <w:top w:val="single" w:sz="4" w:space="0" w:color="auto"/>
              <w:left w:val="nil"/>
              <w:bottom w:val="single" w:sz="4" w:space="0" w:color="auto"/>
              <w:right w:val="nil"/>
            </w:tcBorders>
            <w:tcMar>
              <w:left w:w="0" w:type="dxa"/>
              <w:right w:w="0" w:type="dxa"/>
            </w:tcMar>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4"/>
                <w:szCs w:val="24"/>
              </w:rPr>
            </w:pP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PKB</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2,30%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2,20%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2,20%</w:t>
            </w:r>
          </w:p>
        </w:tc>
        <w:tc>
          <w:tcPr>
            <w:tcW w:w="3146" w:type="dxa"/>
            <w:gridSpan w:val="4"/>
            <w:vMerge/>
            <w:tcBorders>
              <w:top w:val="nil"/>
              <w:left w:val="nil"/>
              <w:bottom w:val="single" w:sz="4" w:space="0" w:color="auto"/>
              <w:right w:val="nil"/>
            </w:tcBorders>
            <w:tcMar>
              <w:left w:w="0" w:type="dxa"/>
            </w:tcMar>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Inflacja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w:t>
            </w:r>
          </w:p>
        </w:tc>
        <w:tc>
          <w:tcPr>
            <w:tcW w:w="3146" w:type="dxa"/>
            <w:gridSpan w:val="4"/>
            <w:vMerge/>
            <w:tcBorders>
              <w:top w:val="nil"/>
              <w:left w:val="nil"/>
              <w:bottom w:val="single" w:sz="4" w:space="0" w:color="auto"/>
              <w:right w:val="nil"/>
            </w:tcBorders>
            <w:tcMar>
              <w:left w:w="0" w:type="dxa"/>
            </w:tcMar>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791"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Wynagrodzenia</w:t>
            </w:r>
          </w:p>
        </w:tc>
        <w:tc>
          <w:tcPr>
            <w:tcW w:w="7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2,90%</w:t>
            </w:r>
          </w:p>
        </w:tc>
        <w:tc>
          <w:tcPr>
            <w:tcW w:w="715"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2,90%</w:t>
            </w:r>
          </w:p>
        </w:tc>
        <w:tc>
          <w:tcPr>
            <w:tcW w:w="83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2,80%</w:t>
            </w:r>
          </w:p>
        </w:tc>
        <w:tc>
          <w:tcPr>
            <w:tcW w:w="3146" w:type="dxa"/>
            <w:gridSpan w:val="4"/>
            <w:vMerge/>
            <w:tcBorders>
              <w:top w:val="nil"/>
              <w:left w:val="nil"/>
              <w:bottom w:val="single" w:sz="4" w:space="0" w:color="auto"/>
              <w:right w:val="nil"/>
            </w:tcBorders>
            <w:tcMar>
              <w:left w:w="0" w:type="dxa"/>
            </w:tcMar>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Wytyczne dotyczące stosowania jednolitych wskaźników makroekonomicznych będących podstawą oszacowania skutków finansowych projektowanych ustaw. Aktualizacja – 19 lipca 2020 r., (www.mf.gov.pl), Warszawa 2020.</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Prognozę oparto o następujące założenia:</w:t>
      </w:r>
    </w:p>
    <w:p w:rsidR="00E133A4" w:rsidRPr="00E133A4" w:rsidRDefault="00E133A4" w:rsidP="00E133A4">
      <w:pPr>
        <w:widowControl w:val="0"/>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dla roku 2021 przyjęto wartości wynikające z projektu budżetu;</w:t>
      </w:r>
    </w:p>
    <w:p w:rsidR="00E133A4" w:rsidRPr="00E133A4" w:rsidRDefault="00E133A4" w:rsidP="00E133A4">
      <w:pPr>
        <w:widowControl w:val="0"/>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dla lat 2022-2037 prognozę wykonano poprzez indeksację o wskaźniki dynamiki inflacji, dynamiki PKB oraz dynamiki realnej wynagrodzeń brutto.</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Podzielenie prognozy w powyższy sposób pozwala na realną ocenę możliwości inwestycyjno-kredytowych gminy.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Zgodnie z przyjętym założeniem, dochody i wydatki bieżące w roku 2021 uwzględnione w WPF wynikają z wartości zawartych w projekcie budżetu na 2021 rok. Od 2022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Sposób indeksacji za pomocą wag przedstawia poniższy wzór:</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rPr>
      </w:pPr>
      <w:r>
        <w:rPr>
          <w:rFonts w:ascii="Calibri" w:hAnsi="Calibri" w:cs="Calibri"/>
          <w:noProof/>
          <w:sz w:val="24"/>
          <w:szCs w:val="24"/>
          <w:lang w:eastAsia="pl-PL"/>
        </w:rPr>
        <w:drawing>
          <wp:inline distT="0" distB="0" distL="0" distR="0">
            <wp:extent cx="4114800" cy="152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52400"/>
                    </a:xfrm>
                    <a:prstGeom prst="rect">
                      <a:avLst/>
                    </a:prstGeom>
                    <a:noFill/>
                    <a:ln>
                      <a:noFill/>
                    </a:ln>
                  </pic:spPr>
                </pic:pic>
              </a:graphicData>
            </a:graphic>
          </wp:inline>
        </w:drawing>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gdzie: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123825" cy="1524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E133A4">
        <w:rPr>
          <w:rFonts w:ascii="Arial" w:hAnsi="Arial" w:cs="Arial"/>
        </w:rPr>
        <w:t xml:space="preserve"> - wartość prognozowana danej kategorii dochodów bądź wydatków budżetowych;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123825" cy="1524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E133A4">
        <w:rPr>
          <w:rFonts w:ascii="Arial" w:hAnsi="Arial" w:cs="Arial"/>
        </w:rPr>
        <w:t xml:space="preserve"> - wartość danej kategorii dochodów bądź wydatków budżetowych w roku </w:t>
      </w:r>
      <w:r w:rsidRPr="00E133A4">
        <w:rPr>
          <w:rFonts w:ascii="Arial" w:hAnsi="Arial" w:cs="Arial"/>
        </w:rPr>
        <w:lastRenderedPageBreak/>
        <w:t>poprzedzającym;</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38125" cy="1524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E133A4">
        <w:rPr>
          <w:rFonts w:ascii="Arial" w:hAnsi="Arial" w:cs="Arial"/>
        </w:rPr>
        <w:t xml:space="preserve"> - wartość wskaźnika inflacji w roku prognozowanym;</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6670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E133A4">
        <w:rPr>
          <w:rFonts w:ascii="Arial" w:hAnsi="Arial" w:cs="Arial"/>
        </w:rPr>
        <w:t xml:space="preserve"> - waga przypisana wskaźnikowi CPI, będąca jego rzeczywistym wpływem na prognozowaną kategorię;</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95275" cy="152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133A4">
        <w:rPr>
          <w:rFonts w:ascii="Arial" w:hAnsi="Arial" w:cs="Arial"/>
        </w:rPr>
        <w:t xml:space="preserve"> - wskaźnik dynamiki PKB;</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Pr>
          <w:rFonts w:ascii="Calibri" w:hAnsi="Calibri" w:cs="Calibri"/>
          <w:noProof/>
          <w:sz w:val="24"/>
          <w:szCs w:val="24"/>
          <w:lang w:eastAsia="pl-PL"/>
        </w:rPr>
        <w:drawing>
          <wp:inline distT="0" distB="0" distL="0" distR="0">
            <wp:extent cx="304800" cy="152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133A4">
        <w:rPr>
          <w:rFonts w:ascii="Arial" w:hAnsi="Arial" w:cs="Arial"/>
        </w:rPr>
        <w:t xml:space="preserve"> - waga przypisana wskaźnikowi dynamiki PKB, będąca jego rzeczywistym wpływem na prognozowaną kategorię;</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28600" cy="152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133A4">
        <w:rPr>
          <w:rFonts w:ascii="Arial" w:hAnsi="Arial" w:cs="Arial"/>
        </w:rPr>
        <w:t xml:space="preserve"> - wskaźnik dynamiki realnej wynagrodzeń brutto w gospodarce narodowej;</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Pr>
          <w:rFonts w:ascii="Calibri" w:hAnsi="Calibri" w:cs="Calibri"/>
          <w:noProof/>
          <w:sz w:val="24"/>
          <w:szCs w:val="24"/>
          <w:lang w:eastAsia="pl-PL"/>
        </w:rPr>
        <w:drawing>
          <wp:inline distT="0" distB="0" distL="0" distR="0">
            <wp:extent cx="2667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E133A4">
        <w:rPr>
          <w:rFonts w:ascii="Arial" w:hAnsi="Arial" w:cs="Arial"/>
        </w:rPr>
        <w:t xml:space="preserve"> - waga przypisana wskaźnikowi dynamiki WB, będąca jego rzeczywistym wpływem na prognozowaną kategorię.</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2. Dochody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Prognozy dochodów Gminy Rogoźno dokonano w podziałach merytorycznych, a następnie sklasyfikowano w podziały wymagane ustawowo. Podział merytoryczny został sporządzony za pomocą paragrafów klasyfikacji budżetowej i objął dochody bieżące i majątkowe.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Dochody bieżące prognozowano w podziale na:</w:t>
      </w:r>
    </w:p>
    <w:p w:rsidR="00E133A4" w:rsidRPr="00E133A4" w:rsidRDefault="00E133A4" w:rsidP="00E133A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dochody z tytułu udziału we wpływach z podatku dochodowego od osób fizycznych;</w:t>
      </w:r>
    </w:p>
    <w:p w:rsidR="00E133A4" w:rsidRPr="00E133A4" w:rsidRDefault="00E133A4" w:rsidP="00E133A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dochody z tytułu udziału we wpływach z podatku dochodowego od osób prawnych;</w:t>
      </w:r>
    </w:p>
    <w:p w:rsidR="00E133A4" w:rsidRPr="00E133A4" w:rsidRDefault="00E133A4" w:rsidP="00E133A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subwencję ogólną;</w:t>
      </w:r>
    </w:p>
    <w:p w:rsidR="00E133A4" w:rsidRPr="00E133A4" w:rsidRDefault="00E133A4" w:rsidP="00E133A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dotacje i środki przeznaczone na cele bieżące;</w:t>
      </w:r>
    </w:p>
    <w:p w:rsidR="00E133A4" w:rsidRPr="00E133A4" w:rsidRDefault="00E133A4" w:rsidP="00E133A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pozostałe dochody (m. in.: podatki i opłaty lokalne, grzywny i kary pieniężne, wpływy z usług, odsetki od środków na rachunkach bankowych), w tym: z podatku od nieruchomości.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Dochody majątkowe prognozowano w podziale na:</w:t>
      </w:r>
    </w:p>
    <w:p w:rsidR="00E133A4" w:rsidRPr="00E133A4" w:rsidRDefault="00E133A4" w:rsidP="00E133A4">
      <w:pPr>
        <w:widowControl w:val="0"/>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dochody ze sprzedaży majątku;</w:t>
      </w:r>
    </w:p>
    <w:p w:rsidR="00E133A4" w:rsidRDefault="00E133A4" w:rsidP="00E133A4">
      <w:pPr>
        <w:widowControl w:val="0"/>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inne;</w:t>
      </w:r>
    </w:p>
    <w:p w:rsidR="00B93212" w:rsidRPr="00E133A4" w:rsidRDefault="00B93212" w:rsidP="00E133A4">
      <w:pPr>
        <w:widowControl w:val="0"/>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b/>
          <w:bCs/>
        </w:rPr>
        <w:t>2.1. Dochody bieżące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Uwzględniając dotychczasowe kształtowanie się dochodów budżetu Gminy Rogoźno oraz przewidywania na następne lata, w poszczególnych kategoriach dochodów bieżących w latach 2022-2024 posłużono się metodą indeksacji wartości bazowych o odpowiednio przypisany dla każdej kategorii budżetowej wskaźnik, za pomocą następujących wag:</w:t>
      </w:r>
    </w:p>
    <w:p w:rsidR="00B93212" w:rsidRPr="00E133A4" w:rsidRDefault="00B93212"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bookmarkStart w:id="0" w:name="_GoBack"/>
      <w:bookmarkEnd w:id="0"/>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lastRenderedPageBreak/>
        <w:t>Tabela 2. Wagi dla danych makroekonomicznych przyjęte do wyliczeń prognozy dochodów bieżących w latach 2022-2024</w:t>
      </w:r>
    </w:p>
    <w:tbl>
      <w:tblPr>
        <w:tblW w:w="0" w:type="auto"/>
        <w:tblInd w:w="10" w:type="dxa"/>
        <w:tblLayout w:type="fixed"/>
        <w:tblCellMar>
          <w:left w:w="10" w:type="dxa"/>
          <w:right w:w="10" w:type="dxa"/>
        </w:tblCellMar>
        <w:tblLook w:val="0000" w:firstRow="0" w:lastRow="0" w:firstColumn="0" w:lastColumn="0" w:noHBand="0" w:noVBand="0"/>
      </w:tblPr>
      <w:tblGrid>
        <w:gridCol w:w="2853"/>
        <w:gridCol w:w="2853"/>
        <w:gridCol w:w="2853"/>
      </w:tblGrid>
      <w:tr w:rsidR="00E133A4" w:rsidRPr="00E133A4">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Wyszczególnienie</w:t>
            </w:r>
          </w:p>
        </w:tc>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INF</w:t>
            </w:r>
          </w:p>
        </w:tc>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PKB</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dochody z udziału w PIT</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dochody z udziału w CIT</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subwencja ogólna</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dotacje bieżące</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pozostałe, w tym:</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z podatku od nieruchomości</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rPr>
        <w:t>Przewiduje się, że kształtowanie się dochodów bieżących budżetu Gminy Rogoźno w latach 2022-2024 powróci powoli do stanu sprzed epidemii. W związku z powyższym, w latach 2022-2024 zaprognozowano wzrost dochodów bieżących o wskaźnik PKB.</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Natomiast w latach 2025-2037, zastosowano podejście ostrożnościowe i w poszczególnych kategoriach dochodów bieżących w latach 2022-2024 posłużono się metodą indeksacji wartości bazowych o odpowiednio przypisany dla każdej kategorii budżetowej wskaźnik, za pomocą następujących wag:</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3. Wagi dla danych makroekonomicznych przyjęte do wyliczeń prognozy dochodów bieżących w latach 2025-2037</w:t>
      </w:r>
    </w:p>
    <w:tbl>
      <w:tblPr>
        <w:tblW w:w="0" w:type="auto"/>
        <w:tblInd w:w="10" w:type="dxa"/>
        <w:tblLayout w:type="fixed"/>
        <w:tblCellMar>
          <w:left w:w="10" w:type="dxa"/>
          <w:right w:w="10" w:type="dxa"/>
        </w:tblCellMar>
        <w:tblLook w:val="0000" w:firstRow="0" w:lastRow="0" w:firstColumn="0" w:lastColumn="0" w:noHBand="0" w:noVBand="0"/>
      </w:tblPr>
      <w:tblGrid>
        <w:gridCol w:w="2853"/>
        <w:gridCol w:w="2853"/>
        <w:gridCol w:w="2853"/>
      </w:tblGrid>
      <w:tr w:rsidR="00E133A4" w:rsidRPr="00E133A4">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Wyszczególnienie</w:t>
            </w:r>
          </w:p>
        </w:tc>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INF</w:t>
            </w:r>
          </w:p>
        </w:tc>
        <w:tc>
          <w:tcPr>
            <w:tcW w:w="2853"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PKB</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dochody z udziału w PIT</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dochody z udziału w CIT</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subwencja ogólna</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dotacje bieżące</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pozostałe, w tym:</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c>
          <w:tcPr>
            <w:tcW w:w="285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z podatku od nieruchomości</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285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b/>
          <w:bCs/>
        </w:rPr>
        <w:t>Podatek od nieruchomości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Stosownie do przepisów ustawy o podatkach i opłatach lokalnych wysokość stawek podatku od nieruchomości nie może przekroczyć górnych granic stawek kwotowych ogłoszonych przez Ministra Finansów. W roku budżetowym wpływy z tytułu podatku od nieruchomości zaplanowano w oparciu o planowane na 2021 r. stawki podatku od nieruchomości oraz zasób nieruchomości Gminy Rogoźno, który stanowi przedmiot opodatkowania. Wysokość wpływów z podatku od nieruchomości na 2021 r. ustalono więc na 10 148 900,00 zł.</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b/>
          <w:bCs/>
        </w:rPr>
        <w:t>Udział w podatkach centralnych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Jako że ta grupa dochodów pozostaje w bardzo silnym związku z sytuacją makroekonomiczną kraju, przy szacowaniu dochodów z tytułu udziałów w podatku dochodowym od osób fizycznych (PIT) oraz od osób prawnych (CIT) w latach 2021-2037 wzięto pod uwagę założony wskaźnik PKB. Zastosowana metodologia prognozowania dochodów z tego tytułu, przełożyła się na średnioroczny wzrost wpływów na poziomie ok. 500 tys. zł.</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b/>
          <w:bCs/>
        </w:rPr>
        <w:lastRenderedPageBreak/>
        <w:t>Subwencje i dotacje na zadania bieżące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Planowaną kwotę subwencji ogólnej oraz dotacji celowych z budżetu państwa (innych niż środki na dofinansowanie realizacji projektów europejskich) na 2021 rok przyjęto w oparciu o informacje przekazane przez Ministra Finansów. W kolejnych latach prognozy założono wzrost kwoty otrzymywanych dotychczas cyklicznych subwencji i dotacji celowych z budżetu państwa w oparciu o prognozowany wskaźnik inflacji.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b/>
          <w:bCs/>
        </w:rPr>
        <w:t>2.2. Dochody majątkowe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 2021 roku dochody ze sprzedaży majątku zaplanowano na poziomie 1 200 000,00 zł, a w roku 2022 na poziomie 200 000,00 zł. Bazując na informacjach o wykonaniu dochodów majątkowych w poprzednich latach, należy stwierdzić, że zaplanowana kwota jest realna, ryzyko ich niewykonania jest minimalne, a sama sprzedaż mienia została zaplanowana przy dochowaniu najwyższej staranności.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Wartość zaplanowanych dochodów ze sprzedaży ma zapewnić sprzedaż nieruchomości, których wykaz zaprezentowano w poniższej tabeli.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rPr>
      </w:pP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4. Wykaz nieruchomości planowanych do sprzedaży w 2021 roku</w:t>
      </w:r>
    </w:p>
    <w:tbl>
      <w:tblPr>
        <w:tblW w:w="0" w:type="auto"/>
        <w:tblInd w:w="10" w:type="dxa"/>
        <w:tblLayout w:type="fixed"/>
        <w:tblCellMar>
          <w:left w:w="10" w:type="dxa"/>
          <w:right w:w="10" w:type="dxa"/>
        </w:tblCellMar>
        <w:tblLook w:val="0000" w:firstRow="0" w:lastRow="0" w:firstColumn="0" w:lastColumn="0" w:noHBand="0" w:noVBand="0"/>
      </w:tblPr>
      <w:tblGrid>
        <w:gridCol w:w="1440"/>
        <w:gridCol w:w="1440"/>
        <w:gridCol w:w="1440"/>
        <w:gridCol w:w="1440"/>
        <w:gridCol w:w="1440"/>
      </w:tblGrid>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Położenie nieruchomości</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Nr działki i obręb</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Powierzchnia [m^2]</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Wartość netto</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Planowany dochód</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166/1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1079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35 700,00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166/2</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1080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28 560,00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Strzelecka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2247/15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7600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489 000,00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498 780,00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Gościejewo</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155/2</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36 720,00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Gościejewo</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155/3</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2500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36 720,00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133/4</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1039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34 500,00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35 190,00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1036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35 700,00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975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32 500,00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33 150,00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133/7</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801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28 560,00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133/8</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34 000,00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34 680,00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1370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36 720,00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Topolowa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133/10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799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28 560,00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197/37</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978</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197/38</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919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197/39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918</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197/40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920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197/41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1159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197/42</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1035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38 760,00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197/20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828</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35 700,00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197/21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840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35 700,00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Słoneczna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197/24</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809</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35 700,00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2409/30</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1054</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1056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2409/32</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1037</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2409/33</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1021</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2409/34</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1006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lastRenderedPageBreak/>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2409/35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992</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2409/15</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946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2409/16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946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Południowa</w:t>
            </w:r>
          </w:p>
        </w:tc>
        <w:tc>
          <w:tcPr>
            <w:tcW w:w="144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2409/17</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946</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40 000,00 zł</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40 800,00 zł</w:t>
            </w:r>
          </w:p>
        </w:tc>
      </w:tr>
      <w:tr w:rsidR="00E133A4" w:rsidRPr="00E133A4">
        <w:trPr>
          <w:trHeight w:val="227"/>
        </w:trPr>
        <w:tc>
          <w:tcPr>
            <w:tcW w:w="5760" w:type="dxa"/>
            <w:gridSpan w:val="4"/>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b/>
                <w:bCs/>
                <w:sz w:val="20"/>
                <w:szCs w:val="20"/>
              </w:rPr>
              <w:t>Suma:</w:t>
            </w:r>
          </w:p>
        </w:tc>
        <w:tc>
          <w:tcPr>
            <w:tcW w:w="144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1 575 900,00 zł</w:t>
            </w: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3. Wydatki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Prognozy wydatków Gminy Rogoźno dokonano w podziale na kategorie wydatków bieżących i wydatków majątkowych.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b/>
          <w:bCs/>
        </w:rPr>
        <w:t>3.1. Wydatki bieżące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Wydatki bieżące prognozowano w podziale na:</w:t>
      </w:r>
    </w:p>
    <w:p w:rsidR="00E133A4" w:rsidRPr="00E133A4" w:rsidRDefault="00E133A4" w:rsidP="00E133A4">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wynagrodzenia i składki od nich naliczane;</w:t>
      </w:r>
    </w:p>
    <w:p w:rsidR="00E133A4" w:rsidRPr="00E133A4" w:rsidRDefault="00E133A4" w:rsidP="00E133A4">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wydatki związane z obsługą zadłużenia, w tym odsetki i dyskonto;</w:t>
      </w:r>
    </w:p>
    <w:p w:rsidR="00E133A4" w:rsidRPr="00E133A4" w:rsidRDefault="00E133A4" w:rsidP="00E133A4">
      <w:pPr>
        <w:widowControl w:val="0"/>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pozostałe wydatki bieżące.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Zgodnie z założeniami przyjętymi przy prognozie dochodów, dla wydatków bieżących w roku 2021 przyjęto projekt budżetu. W 2021 r. w budżecie Gminy Rogoźno wydatki na wynagrodzenia i pochodne od wynagrodzeń zabezpieczono w wysokości 30.962.824 zł, co stanowi wzrost w stosunku do przewidywanego wykonania na koniec 2020 r. o kwotę 595.404 zł. W latach 2022-2037 dokonano indeksacji wydatków na wynagrodzenia i pochodne od wynagrodzeń w oparciu o wagi wskaźników inflacji, PKB i wynagrodzeń.</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 2022 r. założono spadek pozostałych wydatków bieżących. Władze Gminy przewidują znaczące oszczędności w budżecie 2022 r. W związku z powyższym, przy prognozowania pozostałych wydatków bieżących w latach 2022-2024 przyjęto indeksację o wskaźnik inflacji (waga 50%).  W tym celu konieczne będzie podjęcie szeregu działań oszczędnościowych w 2021 roku, których efekty finansowe będą widoczne w kolejnym roku. Gmina Rogoźno zamierza szukać oszczędności w zakresie oświaty i promocji, dotacji i wydatków pozostających poza podstawowymi obowiązkami Gminy oraz innych obszarów, które zostaną określone na podstawie wnikliwej analizy struktury wydatków w trakcie roku budżetowego 2021. Natomiast od roku 2025, w celu zachowania podejścia ostrożnościowego, przyjęto indeksację o wagę 100% wskaźnika inflacji.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Podobne założenia przyjęto w przypadku prognozowania pozostałych wydatków bieżących. O ile w przypadku wydatków na wynagrodzenia, pochodnych od wynagrodzeń i pozostałych wydatków bieżących możliwość zastosowania indeksacji jest uzasadniona, o tyle wydatki związane z obsługą długu są ściśle uzależnione od postanowień zawartych w umowach kredytowych, pożyczkowych i emisji obligacji.</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5. Wagi dla danych makroekonomicznych przyjęte do wyliczeń prognozy wydatków bieżących w latach 2025-2037</w:t>
      </w:r>
    </w:p>
    <w:tbl>
      <w:tblPr>
        <w:tblW w:w="0" w:type="auto"/>
        <w:tblInd w:w="10" w:type="dxa"/>
        <w:tblLayout w:type="fixed"/>
        <w:tblCellMar>
          <w:left w:w="10" w:type="dxa"/>
          <w:right w:w="10" w:type="dxa"/>
        </w:tblCellMar>
        <w:tblLook w:val="0000" w:firstRow="0" w:lastRow="0" w:firstColumn="0" w:lastColumn="0" w:noHBand="0" w:noVBand="0"/>
      </w:tblPr>
      <w:tblGrid>
        <w:gridCol w:w="1800"/>
        <w:gridCol w:w="1800"/>
        <w:gridCol w:w="1800"/>
        <w:gridCol w:w="1800"/>
      </w:tblGrid>
      <w:tr w:rsidR="00E133A4" w:rsidRPr="00E133A4">
        <w:tc>
          <w:tcPr>
            <w:tcW w:w="180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Wyszczególnienie</w:t>
            </w:r>
          </w:p>
        </w:tc>
        <w:tc>
          <w:tcPr>
            <w:tcW w:w="180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INF</w:t>
            </w:r>
          </w:p>
        </w:tc>
        <w:tc>
          <w:tcPr>
            <w:tcW w:w="180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PKB</w:t>
            </w:r>
          </w:p>
        </w:tc>
        <w:tc>
          <w:tcPr>
            <w:tcW w:w="1800" w:type="dxa"/>
            <w:tcBorders>
              <w:top w:val="single" w:sz="4" w:space="0" w:color="auto"/>
              <w:left w:val="single" w:sz="4" w:space="0" w:color="auto"/>
              <w:bottom w:val="single" w:sz="4" w:space="0" w:color="auto"/>
              <w:right w:val="single" w:sz="4" w:space="0" w:color="auto"/>
            </w:tcBorders>
            <w:shd w:val="clear" w:color="auto" w:fill="FCD5B5"/>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sz w:val="20"/>
                <w:szCs w:val="20"/>
              </w:rPr>
              <w:t>WYNAGR</w:t>
            </w:r>
          </w:p>
        </w:tc>
      </w:tr>
      <w:tr w:rsidR="00E133A4" w:rsidRPr="00E133A4">
        <w:tc>
          <w:tcPr>
            <w:tcW w:w="180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lastRenderedPageBreak/>
              <w:t>wynagrodzenia i pochodne</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c>
          <w:tcPr>
            <w:tcW w:w="180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E133A4">
              <w:rPr>
                <w:rFonts w:ascii="Arial" w:hAnsi="Arial" w:cs="Arial"/>
                <w:sz w:val="20"/>
                <w:szCs w:val="20"/>
              </w:rPr>
              <w:t>Pozostałe wydatki bieżące</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100,00%</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Wydatki na obsługę długu skalkulowano w oparciu o obowiązujące stawki WIBOR jak również warunki wynikające z zawartych umów (w przypadku zobowiązań historycznych). Dodatkowo, w prognozie WPF uwzględniono również koszty obsługi zobowiązania planowanego do zaciągnięcia.</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 xml:space="preserve">Należy dodać, iż w kolumnie pomocniczej WPF „2020 przewidywane wykonanie” w pozycji [10.11] wykazano poniesione wydatki bieżące podlegające ustawowemu wyłączeniu z limitu spłaty zobowiązań w wysokości 93.012,63 zł. Niniejsza kwota obejmuje wydatki bieżące poniesione w celu realizacji zadań związanych z przeciwdziałaniem COVID-19, które w części sfinansowano m.in. z rezerwy na zarządzanie kryzysowe, bezpośrednio w efekcie wystąpienia pandemii. </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b/>
          <w:bCs/>
        </w:rPr>
        <w:t>3.2. Wydatki majątkowe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Wydatki majątkowe obejmują przede wszystkim przedsięwzięcia inwestycyjne, które ujęto w załączniku nr 2 do Wieloletniej Prognozy Finansowej Gminy Rogoźno na lata 2021-2024. W kolejnych latach wydatki majątkowe zostały zaplanowane tak, aby pokryły pozostałą po spłacie zobowiązań część tzw. wolnych środków.</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4. Wynik budżetu</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5. Wynik budżetu Gminy Rogoźno</w:t>
      </w:r>
    </w:p>
    <w:tbl>
      <w:tblPr>
        <w:tblW w:w="0" w:type="auto"/>
        <w:tblInd w:w="10" w:type="dxa"/>
        <w:tblLayout w:type="fixed"/>
        <w:tblCellMar>
          <w:left w:w="10" w:type="dxa"/>
          <w:right w:w="10" w:type="dxa"/>
        </w:tblCellMar>
        <w:tblLook w:val="0000" w:firstRow="0" w:lastRow="0" w:firstColumn="0" w:lastColumn="0" w:noHBand="0" w:noVBand="0"/>
      </w:tblPr>
      <w:tblGrid>
        <w:gridCol w:w="1440"/>
        <w:gridCol w:w="1440"/>
        <w:gridCol w:w="1440"/>
        <w:gridCol w:w="1440"/>
        <w:gridCol w:w="1440"/>
      </w:tblGrid>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2021</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2022</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2023</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2024</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Dochody</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87 902 070,42</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89 806 513,00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92 294 709,00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95 063 551,00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Wydatki</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87 662 073,29</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87 589 713,00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90 812 709,00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93 266 551,00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Wynik budżetu</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239 997,13</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2 216 800,00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1 482 000,00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1 797 000,00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2025</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2026</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2027</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2028</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Dochody</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97 524 296,00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100 066 422,00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102 675 324,00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105 334 345,00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Wydatki</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95 840 694,76</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98 294 422,00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100 904 180,00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103 700 318,89</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Wynik budżetu</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1 683 601,24</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1 772 000,00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1 771 144,00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1 634 026,11</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2029</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2030</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2031</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2032</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Dochody</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108 024 645,00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110 783 797,00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113 593 510,00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116 453 948,00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Wydatki</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107 124 645,00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109 563 797,00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112 373 510,00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115 123 998,00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Wynik budżetu</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1 220 000,00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1 220 000,00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1 329 950,00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2033</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2034</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2035</w:t>
            </w: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2036</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Dochody</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119 365 298,00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122 327 767,00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125 341 594,00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128 407 051,00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lastRenderedPageBreak/>
              <w:t>Wydatki</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118 645 298,00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121 607 767,00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124 621 594,00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127 687 051,00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Wynik budżetu</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2037</w:t>
            </w:r>
          </w:p>
        </w:tc>
        <w:tc>
          <w:tcPr>
            <w:tcW w:w="4320" w:type="dxa"/>
            <w:gridSpan w:val="3"/>
            <w:vMerge w:val="restart"/>
            <w:tcBorders>
              <w:top w:val="single" w:sz="4" w:space="0" w:color="auto"/>
              <w:left w:val="single" w:sz="4" w:space="0" w:color="auto"/>
              <w:bottom w:val="nil"/>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Dochody</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131 547 647,00</w:t>
            </w:r>
          </w:p>
        </w:tc>
        <w:tc>
          <w:tcPr>
            <w:tcW w:w="4320" w:type="dxa"/>
            <w:gridSpan w:val="3"/>
            <w:vMerge/>
            <w:tcBorders>
              <w:top w:val="nil"/>
              <w:left w:val="single" w:sz="4" w:space="0" w:color="auto"/>
              <w:bottom w:val="single" w:sz="4" w:space="0" w:color="auto"/>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Wydatki</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130 823 744,13</w:t>
            </w:r>
          </w:p>
        </w:tc>
        <w:tc>
          <w:tcPr>
            <w:tcW w:w="4320" w:type="dxa"/>
            <w:gridSpan w:val="3"/>
            <w:vMerge/>
            <w:tcBorders>
              <w:top w:val="nil"/>
              <w:left w:val="single" w:sz="4" w:space="0" w:color="auto"/>
              <w:bottom w:val="single" w:sz="4" w:space="0" w:color="auto"/>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Wynik budżetu</w:t>
            </w:r>
          </w:p>
        </w:tc>
        <w:tc>
          <w:tcPr>
            <w:tcW w:w="144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723 902,87</w:t>
            </w:r>
          </w:p>
        </w:tc>
        <w:tc>
          <w:tcPr>
            <w:tcW w:w="4320" w:type="dxa"/>
            <w:gridSpan w:val="3"/>
            <w:vMerge/>
            <w:tcBorders>
              <w:top w:val="nil"/>
              <w:left w:val="single" w:sz="4" w:space="0" w:color="auto"/>
              <w:bottom w:val="nil"/>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5. Przychody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W wysokości 2.563.903 zł zaplanowano przychody w budżecie Gminy Rogoźno na 2021 r. Przychody Gminy Rogoźno w 2021 r. obejmują w całości przychody z tytułu kredytów, pożyczek lub emisji papierów wartościowych. W latach 2022-2037 nowych przychodów nie planuje się.</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E133A4">
        <w:rPr>
          <w:rFonts w:ascii="Arial" w:hAnsi="Arial" w:cs="Arial"/>
          <w:b/>
          <w:bCs/>
          <w:sz w:val="20"/>
          <w:szCs w:val="20"/>
        </w:rPr>
        <w:t>6. Rozchody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Na dzień 31.12.2020 kwota zadłużenia, wpływająca na kształtowanie się wskaźnika faktycznej obsługi zadłużenia, wynikająca z zaciągniętych kredytów, pożyczek i wyemitowanych obligacji wyniesie 20 870 421,35 zł, a jego spłata planowana jest do roku 2037. W WPF Gminy Rogoźno uwzględnia się również spłatę zobowiązania planowanego do zaciągnięcia w 2021 r. w wysokości 2.563.903 zł. Spłatę planowanego zobowiązania ujęto w latach 2030-2037.</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Tabela 6. Spłata zaciągniętych i planowanych zobowiązań Gminy Rogoźno</w:t>
      </w:r>
    </w:p>
    <w:tbl>
      <w:tblPr>
        <w:tblW w:w="0" w:type="auto"/>
        <w:tblInd w:w="10" w:type="dxa"/>
        <w:tblLayout w:type="fixed"/>
        <w:tblCellMar>
          <w:left w:w="10" w:type="dxa"/>
          <w:right w:w="10" w:type="dxa"/>
        </w:tblCellMar>
        <w:tblLook w:val="0000" w:firstRow="0" w:lastRow="0" w:firstColumn="0" w:lastColumn="0" w:noHBand="0" w:noVBand="0"/>
      </w:tblPr>
      <w:tblGrid>
        <w:gridCol w:w="1954"/>
        <w:gridCol w:w="1310"/>
        <w:gridCol w:w="1312"/>
        <w:gridCol w:w="1310"/>
        <w:gridCol w:w="1314"/>
      </w:tblGrid>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Wyszczególnienie</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2021</w:t>
            </w:r>
          </w:p>
        </w:tc>
        <w:tc>
          <w:tcPr>
            <w:tcW w:w="131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2022</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2023</w:t>
            </w:r>
          </w:p>
        </w:tc>
        <w:tc>
          <w:tcPr>
            <w:tcW w:w="13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2024</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Zobowiązania historyczne (podpisane umowy)*</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2 803 900,00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2 216 800,00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1 482 000,00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1 797 000,00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Planowane zobowiązania</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Roczna spłata zobowiązań</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2 803 900,00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2 216 800,00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1 482 000,00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1 797 000,00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Wyszczególnienie</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2025</w:t>
            </w:r>
          </w:p>
        </w:tc>
        <w:tc>
          <w:tcPr>
            <w:tcW w:w="131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2026</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2027</w:t>
            </w:r>
          </w:p>
        </w:tc>
        <w:tc>
          <w:tcPr>
            <w:tcW w:w="13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2028</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Zobowiązania historyczne (podpisane umowy)*</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1 683 601,24</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1 772 000,00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1 771 144,00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1 634 026,11</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Planowane zobowiązania</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Roczna spłata zobowiązań</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1 683 601,24</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1 772 000,00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1 771 144,00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1 634 026,11</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Wyszczególnienie</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2029</w:t>
            </w:r>
          </w:p>
        </w:tc>
        <w:tc>
          <w:tcPr>
            <w:tcW w:w="131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2030</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2031</w:t>
            </w:r>
          </w:p>
        </w:tc>
        <w:tc>
          <w:tcPr>
            <w:tcW w:w="13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2032</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Zobowiązania historyczne (podpisane umowy)*</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900 000,00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1 009 950,00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Planowane zobowiązania</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Roczna spłata zobowiązań</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900 000,00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1 220 000,00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1 220 000,00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1 329 950,00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Wyszczególnienie</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2033</w:t>
            </w:r>
          </w:p>
        </w:tc>
        <w:tc>
          <w:tcPr>
            <w:tcW w:w="1312"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2034</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2035</w:t>
            </w:r>
          </w:p>
        </w:tc>
        <w:tc>
          <w:tcPr>
            <w:tcW w:w="131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2036</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Zobowiązania historyczne (podpisane umowy)*</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400 000,00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400 000,00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 xml:space="preserve">Planowane </w:t>
            </w:r>
            <w:r w:rsidRPr="00E133A4">
              <w:rPr>
                <w:rFonts w:ascii="Arial" w:hAnsi="Arial" w:cs="Arial"/>
                <w:b/>
                <w:bCs/>
                <w:sz w:val="18"/>
                <w:szCs w:val="18"/>
              </w:rPr>
              <w:lastRenderedPageBreak/>
              <w:t>zobowiązania</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lastRenderedPageBreak/>
              <w:t>320 000,00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320 000,00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lastRenderedPageBreak/>
              <w:t>Roczna spłata zobowiązań</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312"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c>
          <w:tcPr>
            <w:tcW w:w="131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720 000,00</w:t>
            </w: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Wyszczególnienie</w:t>
            </w:r>
          </w:p>
        </w:tc>
        <w:tc>
          <w:tcPr>
            <w:tcW w:w="1310" w:type="dxa"/>
            <w:tcBorders>
              <w:top w:val="single" w:sz="4" w:space="0" w:color="auto"/>
              <w:left w:val="single" w:sz="4" w:space="0" w:color="auto"/>
              <w:bottom w:val="single" w:sz="4" w:space="0" w:color="auto"/>
              <w:right w:val="single" w:sz="4" w:space="0" w:color="auto"/>
            </w:tcBorders>
            <w:shd w:val="clear" w:color="auto" w:fill="FCD5B5"/>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2037</w:t>
            </w:r>
          </w:p>
        </w:tc>
        <w:tc>
          <w:tcPr>
            <w:tcW w:w="3936" w:type="dxa"/>
            <w:gridSpan w:val="3"/>
            <w:vMerge w:val="restart"/>
            <w:tcBorders>
              <w:top w:val="single" w:sz="4" w:space="0" w:color="auto"/>
              <w:left w:val="single" w:sz="4" w:space="0" w:color="auto"/>
              <w:bottom w:val="nil"/>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Zobowiązania historyczne (podpisane umowy)*</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400 000,00</w:t>
            </w:r>
          </w:p>
        </w:tc>
        <w:tc>
          <w:tcPr>
            <w:tcW w:w="3936" w:type="dxa"/>
            <w:gridSpan w:val="3"/>
            <w:vMerge/>
            <w:tcBorders>
              <w:top w:val="nil"/>
              <w:left w:val="single" w:sz="4" w:space="0" w:color="auto"/>
              <w:bottom w:val="single" w:sz="4" w:space="0" w:color="auto"/>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Planowane zobowiązania</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323 902,87</w:t>
            </w:r>
          </w:p>
        </w:tc>
        <w:tc>
          <w:tcPr>
            <w:tcW w:w="3936" w:type="dxa"/>
            <w:gridSpan w:val="3"/>
            <w:vMerge/>
            <w:tcBorders>
              <w:top w:val="nil"/>
              <w:left w:val="single" w:sz="4" w:space="0" w:color="auto"/>
              <w:bottom w:val="single" w:sz="4" w:space="0" w:color="auto"/>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rPr>
          <w:trHeight w:val="283"/>
        </w:trPr>
        <w:tc>
          <w:tcPr>
            <w:tcW w:w="1954"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E133A4">
              <w:rPr>
                <w:rFonts w:ascii="Arial" w:hAnsi="Arial" w:cs="Arial"/>
                <w:b/>
                <w:bCs/>
                <w:sz w:val="18"/>
                <w:szCs w:val="18"/>
              </w:rPr>
              <w:t>Roczna spłata zobowiązań</w:t>
            </w:r>
          </w:p>
        </w:tc>
        <w:tc>
          <w:tcPr>
            <w:tcW w:w="1310" w:type="dxa"/>
            <w:tcBorders>
              <w:top w:val="single" w:sz="4" w:space="0" w:color="auto"/>
              <w:left w:val="single" w:sz="4" w:space="0" w:color="auto"/>
              <w:bottom w:val="single" w:sz="4" w:space="0" w:color="auto"/>
              <w:right w:val="single" w:sz="4" w:space="0" w:color="auto"/>
            </w:tcBorders>
            <w:vAlign w:val="center"/>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723 902,87</w:t>
            </w:r>
          </w:p>
        </w:tc>
        <w:tc>
          <w:tcPr>
            <w:tcW w:w="3936" w:type="dxa"/>
            <w:gridSpan w:val="3"/>
            <w:vMerge/>
            <w:tcBorders>
              <w:top w:val="nil"/>
              <w:left w:val="single" w:sz="4" w:space="0" w:color="auto"/>
              <w:bottom w:val="nil"/>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Arial" w:hAnsi="Arial" w:cs="Arial"/>
          <w:i/>
          <w:iCs/>
          <w:sz w:val="18"/>
          <w:szCs w:val="18"/>
        </w:rPr>
      </w:pPr>
      <w:r w:rsidRPr="00E133A4">
        <w:rPr>
          <w:rFonts w:ascii="Arial" w:hAnsi="Arial" w:cs="Arial"/>
          <w:i/>
          <w:iCs/>
          <w:sz w:val="18"/>
          <w:szCs w:val="18"/>
        </w:rPr>
        <w:t>*-Zobowiązania historyczne (podpisane umowy), wg planowanego stanu na dzień 31.12.2020r., z uwzględnieniem wykupów obligacji planowanych do emisji do końca 2020 roku (trwa procedura wyboru agenta emisji obligacji komunalnych).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 xml:space="preserve">W Wieloletniej Prognozie Finansowej Gminy Rogoźno zaplanowano również wcześniejszą spłatę zobowiązania w 2021 roku, które zgodnie z pierwotnym harmonogramem, przypadało do spłaty w 2023 roku w kwocie 735.000 zł. Wcześniejszą spłata zobowiązania jest możliwa na podstawie zapisów umowy nr 18/1734 zawartej w dniu 24 kwietnia 2018r. pomiędzy Władzami Gminy a Bankiem Gospodarstwa Krajowego. Niniejsze działanie jest prawnie dopuszczalne i zostało potwierdzone przez instytucję finansującą. </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 xml:space="preserve">Ponadto należy wskazać, iż celu zachowania realistyczności projektu Wieloletniej Prognozy Finansowej Gminy Rogoźno na lata 2021-2037, w pozycji [10.6] w WPF w latach 2021-2037 wykazano spłaty zobowiązań, które zostały już zaciągnięte oraz takie, które planuje się zaciągnąć do końca roku budżetowego 2020, w związku z rozpoczętą procedurą emisji obligacji komunalnych. W przypadku, gdyby plan emisji obligacji komunalnych na rok 2020 nie został w pełni zrealizowany, wówczas odpowiednie wiersze w WPF zostaną stosownie zaktualizowane. </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E133A4">
        <w:rPr>
          <w:rFonts w:ascii="Arial" w:hAnsi="Arial" w:cs="Arial"/>
          <w:b/>
          <w:bCs/>
          <w:sz w:val="24"/>
          <w:szCs w:val="24"/>
        </w:rPr>
        <w:t>7. Relacja z art. 243 ustawy o finansach publicznych</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Zgodnie z art. 243 ust. 1 ustawy z dnia 27 sierpnia 2009 r. o finansach publicznych (</w:t>
      </w:r>
      <w:proofErr w:type="spellStart"/>
      <w:r w:rsidRPr="00E133A4">
        <w:rPr>
          <w:rFonts w:ascii="Arial" w:hAnsi="Arial" w:cs="Arial"/>
        </w:rPr>
        <w:t>t.j</w:t>
      </w:r>
      <w:proofErr w:type="spellEnd"/>
      <w:r w:rsidRPr="00E133A4">
        <w:rPr>
          <w:rFonts w:ascii="Arial" w:hAnsi="Arial" w:cs="Arial"/>
        </w:rPr>
        <w:t>. Dz. U. z 2019 r. poz. 869 z </w:t>
      </w:r>
      <w:proofErr w:type="spellStart"/>
      <w:r w:rsidRPr="00E133A4">
        <w:rPr>
          <w:rFonts w:ascii="Arial" w:hAnsi="Arial" w:cs="Arial"/>
        </w:rPr>
        <w:t>późn</w:t>
      </w:r>
      <w:proofErr w:type="spellEnd"/>
      <w:r w:rsidRPr="00E133A4">
        <w:rPr>
          <w:rFonts w:ascii="Arial" w:hAnsi="Arial" w:cs="Arial"/>
        </w:rPr>
        <w:t>. zm.) od 1 stycznia 2014 r. obowiązuje indywidualny wskaźnik zadłużenia dla samorządów. Według przepisów roczna wartość spłat zobowiązań i ich obsługi do planowanych dochodów bieżących pomniejszonych o dotacje i środki przeznaczone na cele bieżące nie może przekroczyć wskaźnika maksymalnej obsługi zadłużenia uwzględniającego wyłączenia wskazane w art. 243 ust. 3, 3a oraz 3b powyższej ustawy.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Natomiast na podstawie art. 15zob ust. 2 ustawy z dnia 2 marca 2020 r. o szczególnych rozwiązaniach związanych z zapobieganiem, przeciwdziałaniem i zwalczaniem COVID-19, innych chorób zakaźnych oraz wywołanych nimi sytuacji kryzysowych, ustalając relację ograniczającą wysokość spłaty długu JST:</w:t>
      </w:r>
    </w:p>
    <w:p w:rsidR="00E133A4" w:rsidRPr="00E133A4" w:rsidRDefault="00E133A4" w:rsidP="00E133A4">
      <w:pPr>
        <w:widowControl w:val="0"/>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lastRenderedPageBreak/>
        <w:t>na lata 2020-2025 wydatki bieżące budżetu tej jednostki podlegają pomniejszeniu o wydatki bieżące na obsługę długu;</w:t>
      </w:r>
    </w:p>
    <w:p w:rsidR="00E133A4" w:rsidRPr="00E133A4" w:rsidRDefault="00E133A4" w:rsidP="00E133A4">
      <w:pPr>
        <w:widowControl w:val="0"/>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na rok 2021 i lata kolejne wydatki bieżące budżetu tej jednostki podlegają pomniejszeniu o wydatki bieżące poniesione w 2020 r. w celu realizacji zadań związanych z przeciwdziałaniem COVID-19.</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Kształt indywidualnego wskaźnika obsługi zadłużenia został obliczony zgodnie z wytycznymi dla okresów dostosowawczych, tj.:</w:t>
      </w:r>
    </w:p>
    <w:p w:rsidR="00E133A4" w:rsidRPr="00E133A4" w:rsidRDefault="00E133A4" w:rsidP="00E133A4">
      <w:pPr>
        <w:widowControl w:val="0"/>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E133A4">
        <w:rPr>
          <w:rFonts w:ascii="Arial" w:hAnsi="Arial" w:cs="Arial"/>
        </w:rPr>
        <w:t>na lata 2020-2025 w oparciu o art. 9 ust. 1 ustawy z dnia 14 grudnia 2018 r. o zmianie ustawy o finansach publicznych oraz niektórych innych ustaw;</w:t>
      </w:r>
    </w:p>
    <w:p w:rsidR="00E133A4" w:rsidRPr="00E133A4" w:rsidRDefault="00E133A4" w:rsidP="00E133A4">
      <w:pPr>
        <w:widowControl w:val="0"/>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E133A4">
        <w:rPr>
          <w:rFonts w:ascii="Arial" w:hAnsi="Arial" w:cs="Arial"/>
        </w:rPr>
        <w:t>od roku 2026 w oparciu o art. 9 ust. 2 ustawy z dnia 14 grudnia 2018 r. o zmianie ustawy o finansach publicznych oraz niektórych innych ustaw.</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E133A4">
        <w:rPr>
          <w:rFonts w:ascii="Arial" w:hAnsi="Arial" w:cs="Arial"/>
          <w:b/>
          <w:bCs/>
          <w:sz w:val="18"/>
          <w:szCs w:val="18"/>
        </w:rPr>
        <w:t xml:space="preserve">Tabela 7. Kształtowanie się relacji z art. 243 </w:t>
      </w:r>
      <w:proofErr w:type="spellStart"/>
      <w:r w:rsidRPr="00E133A4">
        <w:rPr>
          <w:rFonts w:ascii="Arial" w:hAnsi="Arial" w:cs="Arial"/>
          <w:b/>
          <w:bCs/>
          <w:sz w:val="18"/>
          <w:szCs w:val="18"/>
        </w:rPr>
        <w:t>uofp</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4774"/>
        <w:gridCol w:w="850"/>
        <w:gridCol w:w="851"/>
        <w:gridCol w:w="850"/>
        <w:gridCol w:w="993"/>
        <w:gridCol w:w="995"/>
      </w:tblGrid>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2021</w:t>
            </w:r>
          </w:p>
        </w:tc>
        <w:tc>
          <w:tcPr>
            <w:tcW w:w="851"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2022</w:t>
            </w: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2023</w:t>
            </w:r>
          </w:p>
        </w:tc>
        <w:tc>
          <w:tcPr>
            <w:tcW w:w="99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2024</w:t>
            </w:r>
          </w:p>
        </w:tc>
        <w:tc>
          <w:tcPr>
            <w:tcW w:w="995"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2025</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 xml:space="preserve">Obsługa zadłużenia (fakt. i plan. po </w:t>
            </w:r>
            <w:proofErr w:type="spellStart"/>
            <w:r w:rsidRPr="00E133A4">
              <w:rPr>
                <w:rFonts w:ascii="Arial" w:hAnsi="Arial" w:cs="Arial"/>
                <w:b/>
                <w:bCs/>
                <w:sz w:val="18"/>
                <w:szCs w:val="18"/>
              </w:rPr>
              <w:t>wyłączeniach</w:t>
            </w:r>
            <w:proofErr w:type="spellEnd"/>
            <w:r w:rsidRPr="00E133A4">
              <w:rPr>
                <w:rFonts w:ascii="Arial" w:hAnsi="Arial" w:cs="Arial"/>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5,51%</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4,31%</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2,90%</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3,23%</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2,94%</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planu po III kwartale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6,81%</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4,91%</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3,96%</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3,98%</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4,91%</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przewidywanego wykonania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6,56%</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4,65%</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3,71%</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3,98%</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4,91%</w:t>
            </w:r>
          </w:p>
        </w:tc>
      </w:tr>
      <w:tr w:rsidR="00E133A4" w:rsidRPr="00E133A4">
        <w:tc>
          <w:tcPr>
            <w:tcW w:w="4774"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Zachowanie relacji z art. 243 (w oparciu o przewidywane wykonanie)</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5"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2026</w:t>
            </w:r>
          </w:p>
        </w:tc>
        <w:tc>
          <w:tcPr>
            <w:tcW w:w="851"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2027</w:t>
            </w: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2028</w:t>
            </w:r>
          </w:p>
        </w:tc>
        <w:tc>
          <w:tcPr>
            <w:tcW w:w="99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2029</w:t>
            </w:r>
          </w:p>
        </w:tc>
        <w:tc>
          <w:tcPr>
            <w:tcW w:w="995"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2030</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 xml:space="preserve">Obsługa zadłużenia (fakt. i plan. po </w:t>
            </w:r>
            <w:proofErr w:type="spellStart"/>
            <w:r w:rsidRPr="00E133A4">
              <w:rPr>
                <w:rFonts w:ascii="Arial" w:hAnsi="Arial" w:cs="Arial"/>
                <w:b/>
                <w:bCs/>
                <w:sz w:val="18"/>
                <w:szCs w:val="18"/>
              </w:rPr>
              <w:t>wyłączeniach</w:t>
            </w:r>
            <w:proofErr w:type="spellEnd"/>
            <w:r w:rsidRPr="00E133A4">
              <w:rPr>
                <w:rFonts w:ascii="Arial" w:hAnsi="Arial" w:cs="Arial"/>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2,95%</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2,82%</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2,51%</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1,40%</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1,78%</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planu po III kwartale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3,94%</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4,06%</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4,65%</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5,42%</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5,73%</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przewidywanego wykonania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3,83%</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3,95%</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4,65%</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5,42%</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5,73%</w:t>
            </w:r>
          </w:p>
        </w:tc>
      </w:tr>
      <w:tr w:rsidR="00E133A4" w:rsidRPr="00E133A4">
        <w:tc>
          <w:tcPr>
            <w:tcW w:w="4774"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Zachowanie relacji z art. 243 (w oparciu o przewidywane wykonanie)</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5"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2031</w:t>
            </w:r>
          </w:p>
        </w:tc>
        <w:tc>
          <w:tcPr>
            <w:tcW w:w="851"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2032</w:t>
            </w: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2033</w:t>
            </w:r>
          </w:p>
        </w:tc>
        <w:tc>
          <w:tcPr>
            <w:tcW w:w="993"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2034</w:t>
            </w:r>
          </w:p>
        </w:tc>
        <w:tc>
          <w:tcPr>
            <w:tcW w:w="995"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2035</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 xml:space="preserve">Obsługa zadłużenia (fakt. i plan. po </w:t>
            </w:r>
            <w:proofErr w:type="spellStart"/>
            <w:r w:rsidRPr="00E133A4">
              <w:rPr>
                <w:rFonts w:ascii="Arial" w:hAnsi="Arial" w:cs="Arial"/>
                <w:b/>
                <w:bCs/>
                <w:sz w:val="18"/>
                <w:szCs w:val="18"/>
              </w:rPr>
              <w:t>wyłączeniach</w:t>
            </w:r>
            <w:proofErr w:type="spellEnd"/>
            <w:r w:rsidRPr="00E133A4">
              <w:rPr>
                <w:rFonts w:ascii="Arial" w:hAnsi="Arial" w:cs="Arial"/>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1,72%</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1,80%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0,98%</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0,94%</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0,90%</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planu po III kwartale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5,93%</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6,04%</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6,13%</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6,20%</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6,25%</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przewidywanego wykonania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5,93%</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6,04%</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6,13%</w:t>
            </w:r>
          </w:p>
        </w:tc>
        <w:tc>
          <w:tcPr>
            <w:tcW w:w="993"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6,20%</w:t>
            </w:r>
          </w:p>
        </w:tc>
        <w:tc>
          <w:tcPr>
            <w:tcW w:w="995"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6,25%</w:t>
            </w:r>
          </w:p>
        </w:tc>
      </w:tr>
      <w:tr w:rsidR="00E133A4" w:rsidRPr="00E133A4">
        <w:tc>
          <w:tcPr>
            <w:tcW w:w="4774"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Zachowanie relacji z art. 243 (w oparciu o przewidywane wykonanie)</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995"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2036</w:t>
            </w:r>
          </w:p>
        </w:tc>
        <w:tc>
          <w:tcPr>
            <w:tcW w:w="851" w:type="dxa"/>
            <w:tcBorders>
              <w:top w:val="single" w:sz="4" w:space="0" w:color="auto"/>
              <w:left w:val="single" w:sz="4" w:space="0" w:color="auto"/>
              <w:bottom w:val="single" w:sz="4" w:space="0" w:color="auto"/>
              <w:right w:val="single" w:sz="4" w:space="0" w:color="auto"/>
            </w:tcBorders>
            <w:vAlign w:val="bottom"/>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33A4">
              <w:rPr>
                <w:rFonts w:ascii="Arial" w:hAnsi="Arial" w:cs="Arial"/>
                <w:b/>
                <w:bCs/>
                <w:sz w:val="20"/>
                <w:szCs w:val="20"/>
              </w:rPr>
              <w:t>2037</w:t>
            </w:r>
          </w:p>
        </w:tc>
        <w:tc>
          <w:tcPr>
            <w:tcW w:w="2838" w:type="dxa"/>
            <w:gridSpan w:val="3"/>
            <w:vMerge w:val="restart"/>
            <w:tcBorders>
              <w:top w:val="single" w:sz="4" w:space="0" w:color="auto"/>
              <w:left w:val="single" w:sz="4" w:space="0" w:color="auto"/>
              <w:bottom w:val="nil"/>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 xml:space="preserve">Obsługa zadłużenia (fakt. i plan. po </w:t>
            </w:r>
            <w:proofErr w:type="spellStart"/>
            <w:r w:rsidRPr="00E133A4">
              <w:rPr>
                <w:rFonts w:ascii="Arial" w:hAnsi="Arial" w:cs="Arial"/>
                <w:b/>
                <w:bCs/>
                <w:sz w:val="18"/>
                <w:szCs w:val="18"/>
              </w:rPr>
              <w:t>wyłączeniach</w:t>
            </w:r>
            <w:proofErr w:type="spellEnd"/>
            <w:r w:rsidRPr="00E133A4">
              <w:rPr>
                <w:rFonts w:ascii="Arial" w:hAnsi="Arial" w:cs="Arial"/>
                <w:b/>
                <w:bCs/>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0,86%</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0,83%</w:t>
            </w:r>
          </w:p>
        </w:tc>
        <w:tc>
          <w:tcPr>
            <w:tcW w:w="2838" w:type="dxa"/>
            <w:gridSpan w:val="3"/>
            <w:vMerge/>
            <w:tcBorders>
              <w:top w:val="nil"/>
              <w:left w:val="single" w:sz="4" w:space="0" w:color="auto"/>
              <w:bottom w:val="single" w:sz="4" w:space="0" w:color="auto"/>
              <w:right w:val="single" w:sz="4" w:space="0" w:color="auto"/>
            </w:tcBorders>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planu po III kwartale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6,27%</w:t>
            </w:r>
          </w:p>
        </w:tc>
        <w:tc>
          <w:tcPr>
            <w:tcW w:w="2838" w:type="dxa"/>
            <w:gridSpan w:val="3"/>
            <w:vMerge/>
            <w:tcBorders>
              <w:top w:val="nil"/>
              <w:left w:val="single" w:sz="4" w:space="0" w:color="auto"/>
              <w:bottom w:val="single" w:sz="4" w:space="0" w:color="auto"/>
              <w:right w:val="single" w:sz="4" w:space="0" w:color="auto"/>
            </w:tcBorders>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c>
          <w:tcPr>
            <w:tcW w:w="4774"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Maksymalna obsługa zadłużenia (wg przewidywanego wykonania 2020)</w:t>
            </w:r>
          </w:p>
        </w:tc>
        <w:tc>
          <w:tcPr>
            <w:tcW w:w="850"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6,27%</w:t>
            </w:r>
          </w:p>
        </w:tc>
        <w:tc>
          <w:tcPr>
            <w:tcW w:w="2838" w:type="dxa"/>
            <w:gridSpan w:val="3"/>
            <w:vMerge/>
            <w:tcBorders>
              <w:top w:val="nil"/>
              <w:left w:val="single" w:sz="4" w:space="0" w:color="auto"/>
              <w:bottom w:val="single" w:sz="4" w:space="0" w:color="auto"/>
              <w:right w:val="single" w:sz="4" w:space="0" w:color="auto"/>
            </w:tcBorders>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r w:rsidR="00E133A4" w:rsidRPr="00E133A4">
        <w:tc>
          <w:tcPr>
            <w:tcW w:w="4774"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33A4">
              <w:rPr>
                <w:rFonts w:ascii="Arial" w:hAnsi="Arial" w:cs="Arial"/>
                <w:b/>
                <w:bCs/>
                <w:sz w:val="18"/>
                <w:szCs w:val="18"/>
              </w:rPr>
              <w:t>Zachowanie relacji z art. 243 (w oparciu o przewidywane wykonanie)</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E133A4">
              <w:rPr>
                <w:rFonts w:ascii="Arial" w:hAnsi="Arial" w:cs="Arial"/>
                <w:sz w:val="20"/>
                <w:szCs w:val="20"/>
              </w:rPr>
              <w:t>Tak</w:t>
            </w:r>
          </w:p>
        </w:tc>
        <w:tc>
          <w:tcPr>
            <w:tcW w:w="2838" w:type="dxa"/>
            <w:gridSpan w:val="3"/>
            <w:vMerge/>
            <w:tcBorders>
              <w:top w:val="nil"/>
              <w:left w:val="single" w:sz="4" w:space="0" w:color="auto"/>
              <w:bottom w:val="nil"/>
              <w:right w:val="single" w:sz="4" w:space="0" w:color="auto"/>
            </w:tcBorders>
            <w:vAlign w:val="center"/>
          </w:tcPr>
          <w:p w:rsidR="00E133A4" w:rsidRPr="00E133A4" w:rsidRDefault="00E133A4" w:rsidP="00E133A4">
            <w:pPr>
              <w:widowControl w:val="0"/>
              <w:autoSpaceDE w:val="0"/>
              <w:autoSpaceDN w:val="0"/>
              <w:adjustRightInd w:val="0"/>
              <w:spacing w:after="0" w:line="240" w:lineRule="auto"/>
              <w:rPr>
                <w:rFonts w:ascii="Arial" w:hAnsi="Arial" w:cs="Arial"/>
                <w:sz w:val="20"/>
                <w:szCs w:val="20"/>
              </w:rPr>
            </w:pPr>
          </w:p>
        </w:tc>
      </w:tr>
    </w:tbl>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E133A4">
        <w:rPr>
          <w:rFonts w:ascii="Arial" w:hAnsi="Arial" w:cs="Arial"/>
          <w:sz w:val="16"/>
          <w:szCs w:val="16"/>
        </w:rPr>
        <w:t>Źródło: Opracowanie własne.</w:t>
      </w:r>
    </w:p>
    <w:p w:rsidR="00E133A4" w:rsidRPr="00E133A4" w:rsidRDefault="00E133A4" w:rsidP="00B93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0"/>
          <w:szCs w:val="20"/>
        </w:rPr>
      </w:pP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E133A4">
        <w:rPr>
          <w:rFonts w:ascii="Arial" w:hAnsi="Arial" w:cs="Arial"/>
          <w:sz w:val="20"/>
          <w:szCs w:val="20"/>
        </w:rPr>
        <w:t xml:space="preserve">Sytuacja Gminy Rogoźno jest stabilna, Gmina terminowo reguluje swoje zobowiązania. W 2018 roku wysokość nadwyżki operacyjnej wynosiła ponad 2,6 mln zł, a w 2019 roku wykonano ją na poziomie 1,6 mln zł. Plan na 2020 r. przewiduje nadwyżkę na poziomie 0,1 mln zł, zaś w budżecie na 2021 r. ujęto ją na poziomie 8 tys. zł. W 2022 r., z uwagi na planowane działania oszczędnościowe, zaplanowano nadwyżkę operacyjną w wysokości 2,0 mln zł. W kolejnych </w:t>
      </w:r>
      <w:r w:rsidRPr="00E133A4">
        <w:rPr>
          <w:rFonts w:ascii="Arial" w:hAnsi="Arial" w:cs="Arial"/>
          <w:sz w:val="20"/>
          <w:szCs w:val="20"/>
        </w:rPr>
        <w:lastRenderedPageBreak/>
        <w:t>latach prognozy, ze względu na podejście ostrożnościowe, zaplanowano jej średnioroczny wzrost na poziomie 200 tys. zł, co sprawia, że prognoza ta ma charakter realistyczny. W 2021 roku zaplanowano również wcześniejszą spłatę zobowiązania, które zgodnie z pierwotnym harmonogramem, przypadało do spłaty w 2023 roku. Niniejsze działanie ma na celu poprawę sytuacji płynnościowej w kolejnych latach prognozy. Jak wspomniano we wcześniejszej części objaśnień, na wcześniejszą spłatę części zadłużenia pozwalają zapisy zawartej umowy z instytucją finansującą Relacja z art. 243 ustawy o finansach publicznych zostanie spełniona w całym horyzoncie prognozy. Sytuacja finansowa Gminy Rogoźno jest na bieżąco monitorowana.</w:t>
      </w:r>
    </w:p>
    <w:p w:rsidR="00E133A4" w:rsidRPr="00E133A4" w:rsidRDefault="00E133A4" w:rsidP="00E1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9F436E" w:rsidRDefault="009F436E"/>
    <w:sectPr w:rsidR="009F436E" w:rsidSect="00FA01D1">
      <w:pgSz w:w="12240" w:h="15840"/>
      <w:pgMar w:top="1440" w:right="1800" w:bottom="1440"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1">
    <w:nsid w:val="00000002"/>
    <w:multiLevelType w:val="multilevel"/>
    <w:tmpl w:val="00000002"/>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2">
    <w:nsid w:val="00000003"/>
    <w:multiLevelType w:val="multilevel"/>
    <w:tmpl w:val="00000003"/>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3">
    <w:nsid w:val="00000004"/>
    <w:multiLevelType w:val="multilevel"/>
    <w:tmpl w:val="00000004"/>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4">
    <w:nsid w:val="00000005"/>
    <w:multiLevelType w:val="multilevel"/>
    <w:tmpl w:val="00000005"/>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5">
    <w:nsid w:val="00000006"/>
    <w:multiLevelType w:val="multilevel"/>
    <w:tmpl w:val="00000006"/>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A4"/>
    <w:rsid w:val="009F436E"/>
    <w:rsid w:val="00B93212"/>
    <w:rsid w:val="00E1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133A4"/>
  </w:style>
  <w:style w:type="paragraph" w:customStyle="1" w:styleId="Normal">
    <w:name w:val="[Normal]"/>
    <w:uiPriority w:val="99"/>
    <w:rsid w:val="00E133A4"/>
    <w:pPr>
      <w:widowControl w:val="0"/>
      <w:autoSpaceDE w:val="0"/>
      <w:autoSpaceDN w:val="0"/>
      <w:adjustRightInd w:val="0"/>
      <w:spacing w:after="0" w:line="240" w:lineRule="auto"/>
    </w:pPr>
    <w:rPr>
      <w:rFonts w:ascii="Arial" w:hAnsi="Arial" w:cs="Arial"/>
      <w:sz w:val="24"/>
      <w:szCs w:val="24"/>
    </w:rPr>
  </w:style>
  <w:style w:type="character" w:styleId="Numerwiersza">
    <w:name w:val="line number"/>
    <w:basedOn w:val="Domylnaczcionkaakapitu"/>
    <w:uiPriority w:val="99"/>
    <w:rsid w:val="00E133A4"/>
  </w:style>
  <w:style w:type="character" w:styleId="Hipercze">
    <w:name w:val="Hyperlink"/>
    <w:basedOn w:val="Domylnaczcionkaakapitu"/>
    <w:uiPriority w:val="99"/>
    <w:rsid w:val="00E133A4"/>
    <w:rPr>
      <w:color w:val="0000FF"/>
      <w:u w:val="single"/>
    </w:rPr>
  </w:style>
  <w:style w:type="paragraph" w:styleId="Tekstdymka">
    <w:name w:val="Balloon Text"/>
    <w:basedOn w:val="Normalny"/>
    <w:link w:val="TekstdymkaZnak"/>
    <w:uiPriority w:val="99"/>
    <w:semiHidden/>
    <w:unhideWhenUsed/>
    <w:rsid w:val="00E133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133A4"/>
  </w:style>
  <w:style w:type="paragraph" w:customStyle="1" w:styleId="Normal">
    <w:name w:val="[Normal]"/>
    <w:uiPriority w:val="99"/>
    <w:rsid w:val="00E133A4"/>
    <w:pPr>
      <w:widowControl w:val="0"/>
      <w:autoSpaceDE w:val="0"/>
      <w:autoSpaceDN w:val="0"/>
      <w:adjustRightInd w:val="0"/>
      <w:spacing w:after="0" w:line="240" w:lineRule="auto"/>
    </w:pPr>
    <w:rPr>
      <w:rFonts w:ascii="Arial" w:hAnsi="Arial" w:cs="Arial"/>
      <w:sz w:val="24"/>
      <w:szCs w:val="24"/>
    </w:rPr>
  </w:style>
  <w:style w:type="character" w:styleId="Numerwiersza">
    <w:name w:val="line number"/>
    <w:basedOn w:val="Domylnaczcionkaakapitu"/>
    <w:uiPriority w:val="99"/>
    <w:rsid w:val="00E133A4"/>
  </w:style>
  <w:style w:type="character" w:styleId="Hipercze">
    <w:name w:val="Hyperlink"/>
    <w:basedOn w:val="Domylnaczcionkaakapitu"/>
    <w:uiPriority w:val="99"/>
    <w:rsid w:val="00E133A4"/>
    <w:rPr>
      <w:color w:val="0000FF"/>
      <w:u w:val="single"/>
    </w:rPr>
  </w:style>
  <w:style w:type="paragraph" w:styleId="Tekstdymka">
    <w:name w:val="Balloon Text"/>
    <w:basedOn w:val="Normalny"/>
    <w:link w:val="TekstdymkaZnak"/>
    <w:uiPriority w:val="99"/>
    <w:semiHidden/>
    <w:unhideWhenUsed/>
    <w:rsid w:val="00E133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3615</Words>
  <Characters>21693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3</cp:revision>
  <dcterms:created xsi:type="dcterms:W3CDTF">2020-11-16T14:51:00Z</dcterms:created>
  <dcterms:modified xsi:type="dcterms:W3CDTF">2020-11-16T15:10:00Z</dcterms:modified>
</cp:coreProperties>
</file>